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8CAA" w14:textId="7657F988" w:rsidR="008C2B68" w:rsidRPr="008C2B68" w:rsidRDefault="008C2B68" w:rsidP="008C2B68">
      <w:pPr>
        <w:autoSpaceDE w:val="0"/>
        <w:autoSpaceDN w:val="0"/>
        <w:adjustRightInd w:val="0"/>
        <w:spacing w:after="0" w:line="240" w:lineRule="auto"/>
        <w:jc w:val="center"/>
        <w:rPr>
          <w:rFonts w:ascii="Times New Roman" w:hAnsi="Times New Roman" w:cs="Times New Roman"/>
          <w:color w:val="000000"/>
          <w:sz w:val="23"/>
          <w:szCs w:val="23"/>
        </w:rPr>
      </w:pPr>
      <w:r w:rsidRPr="008C2B68">
        <w:rPr>
          <w:rFonts w:ascii="Times New Roman" w:hAnsi="Times New Roman" w:cs="Times New Roman"/>
          <w:b/>
          <w:bCs/>
          <w:color w:val="000000"/>
          <w:sz w:val="23"/>
          <w:szCs w:val="23"/>
        </w:rPr>
        <w:t>AN ORDINANCE FOR ADOPTION AND REVISIONS TO THE</w:t>
      </w:r>
      <w:r w:rsidR="003C1B3E">
        <w:rPr>
          <w:rFonts w:ascii="Times New Roman" w:hAnsi="Times New Roman" w:cs="Times New Roman"/>
          <w:b/>
          <w:bCs/>
          <w:color w:val="000000"/>
          <w:sz w:val="23"/>
          <w:szCs w:val="23"/>
        </w:rPr>
        <w:t xml:space="preserve"> COLLECTION OF</w:t>
      </w:r>
      <w:r w:rsidRPr="008C2B68">
        <w:rPr>
          <w:rFonts w:ascii="Times New Roman" w:hAnsi="Times New Roman" w:cs="Times New Roman"/>
          <w:b/>
          <w:bCs/>
          <w:color w:val="000000"/>
          <w:sz w:val="23"/>
          <w:szCs w:val="23"/>
        </w:rPr>
        <w:t xml:space="preserve"> </w:t>
      </w:r>
      <w:r w:rsidR="000F091B">
        <w:rPr>
          <w:rFonts w:ascii="Times New Roman" w:hAnsi="Times New Roman" w:cs="Times New Roman"/>
          <w:b/>
          <w:bCs/>
          <w:color w:val="000000"/>
          <w:sz w:val="23"/>
          <w:szCs w:val="23"/>
        </w:rPr>
        <w:t xml:space="preserve">THE </w:t>
      </w:r>
      <w:r w:rsidRPr="008C2B68">
        <w:rPr>
          <w:rFonts w:ascii="Times New Roman" w:hAnsi="Times New Roman" w:cs="Times New Roman"/>
          <w:b/>
          <w:bCs/>
          <w:color w:val="000000"/>
          <w:sz w:val="23"/>
          <w:szCs w:val="23"/>
        </w:rPr>
        <w:t xml:space="preserve">INTERNATIONAL </w:t>
      </w:r>
      <w:r w:rsidR="000F091B">
        <w:rPr>
          <w:rFonts w:ascii="Times New Roman" w:hAnsi="Times New Roman" w:cs="Times New Roman"/>
          <w:b/>
          <w:bCs/>
          <w:color w:val="000000"/>
          <w:sz w:val="23"/>
          <w:szCs w:val="23"/>
        </w:rPr>
        <w:t xml:space="preserve">BUILDING </w:t>
      </w:r>
      <w:r w:rsidRPr="008C2B68">
        <w:rPr>
          <w:rFonts w:ascii="Times New Roman" w:hAnsi="Times New Roman" w:cs="Times New Roman"/>
          <w:b/>
          <w:bCs/>
          <w:color w:val="000000"/>
          <w:sz w:val="23"/>
          <w:szCs w:val="23"/>
        </w:rPr>
        <w:t>CODE</w:t>
      </w:r>
      <w:r w:rsidR="000F091B">
        <w:rPr>
          <w:rFonts w:ascii="Times New Roman" w:hAnsi="Times New Roman" w:cs="Times New Roman"/>
          <w:b/>
          <w:bCs/>
          <w:color w:val="000000"/>
          <w:sz w:val="23"/>
          <w:szCs w:val="23"/>
        </w:rPr>
        <w:t xml:space="preserve"> FAMILY</w:t>
      </w:r>
      <w:r w:rsidR="003C1B3E">
        <w:rPr>
          <w:rFonts w:ascii="Times New Roman" w:hAnsi="Times New Roman" w:cs="Times New Roman"/>
          <w:b/>
          <w:bCs/>
          <w:color w:val="000000"/>
          <w:sz w:val="23"/>
          <w:szCs w:val="23"/>
        </w:rPr>
        <w:t>.</w:t>
      </w:r>
    </w:p>
    <w:p w14:paraId="69C69DCE" w14:textId="77777777" w:rsidR="008C2B68" w:rsidRDefault="008C2B68" w:rsidP="008C2B68">
      <w:pPr>
        <w:rPr>
          <w:rFonts w:ascii="Times New Roman" w:hAnsi="Times New Roman" w:cs="Times New Roman"/>
          <w:color w:val="000000"/>
          <w:sz w:val="23"/>
          <w:szCs w:val="23"/>
        </w:rPr>
      </w:pPr>
    </w:p>
    <w:p w14:paraId="4E0FB8B9" w14:textId="70441208" w:rsidR="005B24EA" w:rsidRDefault="008C2B68" w:rsidP="008C2B68">
      <w:r w:rsidRPr="008C2B68">
        <w:rPr>
          <w:rFonts w:ascii="Times New Roman" w:hAnsi="Times New Roman" w:cs="Times New Roman"/>
          <w:color w:val="000000"/>
          <w:sz w:val="23"/>
          <w:szCs w:val="23"/>
        </w:rPr>
        <w:t xml:space="preserve">NOW THEREFORE, it is RESOLVED by the City Council for the City of </w:t>
      </w:r>
      <w:r w:rsidR="00E85601">
        <w:rPr>
          <w:rFonts w:ascii="Times New Roman" w:hAnsi="Times New Roman" w:cs="Times New Roman"/>
          <w:color w:val="000000"/>
          <w:sz w:val="23"/>
          <w:szCs w:val="23"/>
        </w:rPr>
        <w:t>Alleman</w:t>
      </w:r>
      <w:r w:rsidRPr="008C2B68">
        <w:rPr>
          <w:rFonts w:ascii="Times New Roman" w:hAnsi="Times New Roman" w:cs="Times New Roman"/>
          <w:color w:val="000000"/>
          <w:sz w:val="23"/>
          <w:szCs w:val="23"/>
        </w:rPr>
        <w:t xml:space="preserve"> as follows:</w:t>
      </w:r>
    </w:p>
    <w:p w14:paraId="5496C561" w14:textId="118E68E9" w:rsidR="005B24EA" w:rsidRDefault="005B24EA" w:rsidP="008C2B68">
      <w:pPr>
        <w:spacing w:after="0"/>
        <w:rPr>
          <w:rFonts w:ascii="Calibri" w:hAnsi="Calibri" w:cs="Calibri"/>
          <w:color w:val="000000"/>
        </w:rPr>
      </w:pPr>
      <w:r w:rsidRPr="000F091B">
        <w:rPr>
          <w:rFonts w:ascii="Calibri" w:hAnsi="Calibri" w:cs="Calibri"/>
          <w:b/>
          <w:bCs/>
          <w:color w:val="000000"/>
          <w:sz w:val="28"/>
          <w:szCs w:val="28"/>
        </w:rPr>
        <w:t>Section 1.</w:t>
      </w:r>
      <w:r w:rsidRPr="005B24EA">
        <w:rPr>
          <w:rFonts w:ascii="Calibri" w:hAnsi="Calibri" w:cs="Calibri"/>
          <w:color w:val="000000"/>
        </w:rPr>
        <w:t xml:space="preserve"> That a certain document, being marked and designated </w:t>
      </w:r>
      <w:r w:rsidRPr="000F091B">
        <w:rPr>
          <w:rFonts w:ascii="Calibri" w:hAnsi="Calibri" w:cs="Calibri"/>
          <w:color w:val="000000"/>
        </w:rPr>
        <w:t>as the</w:t>
      </w:r>
      <w:r w:rsidRPr="000F091B">
        <w:rPr>
          <w:rFonts w:ascii="Calibri" w:hAnsi="Calibri" w:cs="Calibri"/>
          <w:b/>
          <w:bCs/>
          <w:color w:val="000000"/>
          <w:sz w:val="24"/>
          <w:szCs w:val="24"/>
        </w:rPr>
        <w:t xml:space="preserve"> </w:t>
      </w:r>
      <w:r w:rsidRPr="000F091B">
        <w:rPr>
          <w:rFonts w:ascii="Calibri" w:hAnsi="Calibri" w:cs="Calibri"/>
          <w:b/>
          <w:bCs/>
          <w:i/>
          <w:iCs/>
          <w:color w:val="000000"/>
          <w:sz w:val="24"/>
          <w:szCs w:val="24"/>
        </w:rPr>
        <w:t>International Building Code</w:t>
      </w:r>
      <w:r w:rsidRPr="000F091B">
        <w:rPr>
          <w:rFonts w:ascii="Calibri" w:hAnsi="Calibri" w:cs="Calibri"/>
          <w:b/>
          <w:bCs/>
          <w:color w:val="000000"/>
          <w:sz w:val="24"/>
          <w:szCs w:val="24"/>
        </w:rPr>
        <w:t>, 2018 edition</w:t>
      </w:r>
      <w:r w:rsidRPr="005B24EA">
        <w:rPr>
          <w:rFonts w:ascii="Calibri" w:hAnsi="Calibri" w:cs="Calibri"/>
          <w:color w:val="000000"/>
        </w:rPr>
        <w:t>, as published by the International Code Council, be and is hereby adopted as the Building Code</w:t>
      </w:r>
      <w:r w:rsidRPr="005B24EA">
        <w:rPr>
          <w:rFonts w:ascii="Calibri" w:hAnsi="Calibri" w:cs="Calibri"/>
          <w:b/>
          <w:bCs/>
          <w:color w:val="000000"/>
        </w:rPr>
        <w:t xml:space="preserve"> </w:t>
      </w:r>
      <w:r w:rsidRPr="005B24EA">
        <w:rPr>
          <w:rFonts w:ascii="Calibri" w:hAnsi="Calibri" w:cs="Calibri"/>
          <w:color w:val="000000"/>
        </w:rPr>
        <w:t>for regulating and governing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structures as herein provided; providing for the issuance of permits and collection of fees therefor; and each and all of the regulations, provisions, penalties, conditions and terms of said Building Code are hereby referred to, adopted, and made a part hereof, as if fully set out in this legislation, with the additions, insertions, deletions and changes, if any, prescribed in Section 2 of this resolution.</w:t>
      </w:r>
    </w:p>
    <w:p w14:paraId="400305B5" w14:textId="77777777" w:rsidR="005B24EA" w:rsidRPr="005B24EA" w:rsidRDefault="005B24EA" w:rsidP="005B24EA">
      <w:pPr>
        <w:autoSpaceDE w:val="0"/>
        <w:autoSpaceDN w:val="0"/>
        <w:adjustRightInd w:val="0"/>
        <w:spacing w:after="0" w:line="240" w:lineRule="auto"/>
        <w:rPr>
          <w:rFonts w:ascii="Calibri" w:hAnsi="Calibri" w:cs="Calibri"/>
          <w:color w:val="000000"/>
          <w:sz w:val="24"/>
          <w:szCs w:val="24"/>
        </w:rPr>
      </w:pPr>
    </w:p>
    <w:p w14:paraId="1F5B7928" w14:textId="73A7539E" w:rsidR="005B24EA" w:rsidRDefault="005B24EA" w:rsidP="008C2B68">
      <w:pPr>
        <w:spacing w:after="0"/>
        <w:rPr>
          <w:rFonts w:cstheme="minorHAnsi"/>
          <w:color w:val="000000"/>
        </w:rPr>
      </w:pPr>
      <w:r w:rsidRPr="000F091B">
        <w:rPr>
          <w:rFonts w:cstheme="minorHAnsi"/>
          <w:b/>
          <w:bCs/>
          <w:color w:val="000000"/>
          <w:sz w:val="28"/>
          <w:szCs w:val="28"/>
        </w:rPr>
        <w:t>Section 2.</w:t>
      </w:r>
      <w:r w:rsidRPr="005B24EA">
        <w:rPr>
          <w:rFonts w:cstheme="minorHAnsi"/>
          <w:b/>
          <w:bCs/>
          <w:color w:val="000000"/>
        </w:rPr>
        <w:t xml:space="preserve"> </w:t>
      </w:r>
      <w:r w:rsidRPr="005B24EA">
        <w:rPr>
          <w:rFonts w:cstheme="minorHAnsi"/>
          <w:color w:val="000000"/>
        </w:rPr>
        <w:t>The following sections are hereby revised:</w:t>
      </w:r>
    </w:p>
    <w:p w14:paraId="68FCC134" w14:textId="77777777" w:rsidR="008C2B68" w:rsidRPr="005B24EA" w:rsidRDefault="008C2B68" w:rsidP="008C2B68">
      <w:pPr>
        <w:spacing w:after="0"/>
        <w:rPr>
          <w:rFonts w:cstheme="minorHAnsi"/>
          <w:color w:val="000000"/>
        </w:rPr>
      </w:pPr>
    </w:p>
    <w:p w14:paraId="2B69EA1D" w14:textId="77777777" w:rsidR="005B24EA" w:rsidRPr="005B24EA" w:rsidRDefault="005B24EA" w:rsidP="005B24EA">
      <w:pPr>
        <w:autoSpaceDE w:val="0"/>
        <w:autoSpaceDN w:val="0"/>
        <w:adjustRightInd w:val="0"/>
        <w:spacing w:after="0" w:line="240" w:lineRule="auto"/>
        <w:rPr>
          <w:rFonts w:cstheme="minorHAnsi"/>
          <w:color w:val="000000"/>
        </w:rPr>
      </w:pPr>
      <w:r w:rsidRPr="005B24EA">
        <w:rPr>
          <w:rFonts w:cstheme="minorHAnsi"/>
          <w:color w:val="000000"/>
        </w:rPr>
        <w:t xml:space="preserve">Delete Code Section: IBC 502.1 </w:t>
      </w:r>
    </w:p>
    <w:p w14:paraId="3D0AC902" w14:textId="77777777" w:rsidR="005B24EA" w:rsidRDefault="005B24EA" w:rsidP="005B24EA">
      <w:pPr>
        <w:autoSpaceDE w:val="0"/>
        <w:autoSpaceDN w:val="0"/>
        <w:adjustRightInd w:val="0"/>
        <w:spacing w:after="0" w:line="240" w:lineRule="auto"/>
        <w:rPr>
          <w:rFonts w:cstheme="minorHAnsi"/>
          <w:color w:val="000000"/>
        </w:rPr>
      </w:pPr>
    </w:p>
    <w:p w14:paraId="3AC3C9DF" w14:textId="4D0FC9C7" w:rsidR="005B24EA" w:rsidRDefault="005B24EA" w:rsidP="008C2B68">
      <w:pPr>
        <w:autoSpaceDE w:val="0"/>
        <w:autoSpaceDN w:val="0"/>
        <w:adjustRightInd w:val="0"/>
        <w:spacing w:after="0" w:line="240" w:lineRule="auto"/>
        <w:rPr>
          <w:rFonts w:cstheme="minorHAnsi"/>
          <w:color w:val="000000"/>
        </w:rPr>
      </w:pPr>
      <w:r w:rsidRPr="005B24EA">
        <w:rPr>
          <w:rFonts w:cstheme="minorHAnsi"/>
          <w:color w:val="000000"/>
        </w:rPr>
        <w:t xml:space="preserve">Replace with the following language: </w:t>
      </w:r>
    </w:p>
    <w:p w14:paraId="71BCC67C" w14:textId="77777777" w:rsidR="008C2B68" w:rsidRDefault="008C2B68" w:rsidP="008C2B68">
      <w:pPr>
        <w:autoSpaceDE w:val="0"/>
        <w:autoSpaceDN w:val="0"/>
        <w:adjustRightInd w:val="0"/>
        <w:spacing w:after="0" w:line="240" w:lineRule="auto"/>
        <w:rPr>
          <w:rFonts w:cstheme="minorHAnsi"/>
          <w:color w:val="000000"/>
        </w:rPr>
      </w:pPr>
    </w:p>
    <w:p w14:paraId="5F6AD881" w14:textId="5CBEB2E5" w:rsidR="005B24EA" w:rsidRPr="005B24EA" w:rsidRDefault="005B24EA" w:rsidP="009C47CF">
      <w:pPr>
        <w:ind w:left="720"/>
        <w:rPr>
          <w:rFonts w:cstheme="minorHAnsi"/>
        </w:rPr>
      </w:pPr>
      <w:r w:rsidRPr="005B24EA">
        <w:rPr>
          <w:rFonts w:cstheme="minorHAnsi"/>
          <w:color w:val="000000"/>
        </w:rPr>
        <w:t>502.1 Address identification. New and existing buildings shall have approved address numbers, building numbers or approved building identification placed in a position that is plainly legible and visible from the street or road fronting the property. These numbers shall be black or white and shall contrast with their background. Where required by the fire code official, address numbers shall be provided in greater dimension or additional approved locations to facilitate emergency response. Address numbers shall be Arabic numbers or alphabetical letters. Numbers and letters shall be a minimum height and a minimum stroke width as</w:t>
      </w:r>
      <w:r w:rsidRPr="005B24EA">
        <w:rPr>
          <w:sz w:val="23"/>
          <w:szCs w:val="23"/>
        </w:rPr>
        <w:t xml:space="preserve"> </w:t>
      </w:r>
      <w:r w:rsidRPr="005B24EA">
        <w:t xml:space="preserve">dictated by Table 505.1. Where access is by means of a private road and the building cannot be viewed from the public way, a monument, pole, or other sign or means shall be used to </w:t>
      </w:r>
      <w:r w:rsidRPr="005B24EA">
        <w:rPr>
          <w:rFonts w:cstheme="minorHAnsi"/>
        </w:rPr>
        <w:t>identify the structure. Address numbers shall be maintained.</w:t>
      </w:r>
    </w:p>
    <w:p w14:paraId="7391D4D2" w14:textId="77777777" w:rsidR="005B24EA" w:rsidRPr="005B24EA" w:rsidRDefault="005B24EA" w:rsidP="005B24EA">
      <w:pPr>
        <w:pStyle w:val="Default"/>
        <w:rPr>
          <w:rFonts w:asciiTheme="minorHAnsi" w:hAnsiTheme="minorHAnsi" w:cstheme="minorHAnsi"/>
          <w:sz w:val="22"/>
          <w:szCs w:val="22"/>
        </w:rPr>
      </w:pPr>
      <w:r w:rsidRPr="005B24EA">
        <w:rPr>
          <w:rFonts w:asciiTheme="minorHAnsi" w:hAnsiTheme="minorHAnsi" w:cstheme="minorHAnsi"/>
          <w:sz w:val="22"/>
          <w:szCs w:val="22"/>
        </w:rPr>
        <w:t xml:space="preserve">Table 502.1 </w:t>
      </w:r>
    </w:p>
    <w:p w14:paraId="7B666D93" w14:textId="55FEE305" w:rsidR="005B24EA" w:rsidRDefault="005B24EA" w:rsidP="005B24EA">
      <w:pPr>
        <w:rPr>
          <w:rFonts w:cstheme="minorHAnsi"/>
        </w:rPr>
      </w:pPr>
      <w:r w:rsidRPr="005B24EA">
        <w:rPr>
          <w:rFonts w:cstheme="minorHAnsi"/>
        </w:rPr>
        <w:t>Minimum Height and Stroke Width</w:t>
      </w:r>
    </w:p>
    <w:tbl>
      <w:tblPr>
        <w:tblStyle w:val="TableGrid"/>
        <w:tblW w:w="0" w:type="auto"/>
        <w:tblLook w:val="04A0" w:firstRow="1" w:lastRow="0" w:firstColumn="1" w:lastColumn="0" w:noHBand="0" w:noVBand="1"/>
      </w:tblPr>
      <w:tblGrid>
        <w:gridCol w:w="1558"/>
        <w:gridCol w:w="1558"/>
        <w:gridCol w:w="3117"/>
        <w:gridCol w:w="3117"/>
      </w:tblGrid>
      <w:tr w:rsidR="005B24EA" w14:paraId="56F524C2" w14:textId="77777777" w:rsidTr="005B24EA">
        <w:tc>
          <w:tcPr>
            <w:tcW w:w="3116" w:type="dxa"/>
            <w:gridSpan w:val="2"/>
          </w:tcPr>
          <w:p w14:paraId="7EFBE720" w14:textId="14BE22BB" w:rsidR="005B24EA" w:rsidRPr="001D446A" w:rsidRDefault="001D446A" w:rsidP="001D446A">
            <w:pPr>
              <w:jc w:val="center"/>
              <w:rPr>
                <w:rFonts w:cstheme="minorHAnsi"/>
                <w:sz w:val="24"/>
                <w:szCs w:val="24"/>
              </w:rPr>
            </w:pPr>
            <w:r w:rsidRPr="001D446A">
              <w:rPr>
                <w:rFonts w:cstheme="minorHAnsi"/>
                <w:sz w:val="24"/>
                <w:szCs w:val="24"/>
              </w:rPr>
              <w:t>Distance from the centerline of the Public Way (ft)</w:t>
            </w:r>
          </w:p>
        </w:tc>
        <w:tc>
          <w:tcPr>
            <w:tcW w:w="3117" w:type="dxa"/>
          </w:tcPr>
          <w:p w14:paraId="20DEB721" w14:textId="6AA655C0" w:rsidR="005B24EA" w:rsidRPr="001D446A" w:rsidRDefault="001D446A" w:rsidP="001D446A">
            <w:pPr>
              <w:jc w:val="center"/>
              <w:rPr>
                <w:rFonts w:cstheme="minorHAnsi"/>
                <w:sz w:val="24"/>
                <w:szCs w:val="24"/>
              </w:rPr>
            </w:pPr>
            <w:r w:rsidRPr="001D446A">
              <w:rPr>
                <w:rFonts w:cstheme="minorHAnsi"/>
                <w:sz w:val="24"/>
                <w:szCs w:val="24"/>
              </w:rPr>
              <w:t>Minimum Height (inches)</w:t>
            </w:r>
          </w:p>
        </w:tc>
        <w:tc>
          <w:tcPr>
            <w:tcW w:w="3117" w:type="dxa"/>
          </w:tcPr>
          <w:p w14:paraId="1B24343F" w14:textId="208D4629" w:rsidR="005B24EA" w:rsidRPr="001D446A" w:rsidRDefault="001D446A" w:rsidP="001D446A">
            <w:pPr>
              <w:jc w:val="center"/>
              <w:rPr>
                <w:rFonts w:cstheme="minorHAnsi"/>
                <w:sz w:val="24"/>
                <w:szCs w:val="24"/>
              </w:rPr>
            </w:pPr>
            <w:r w:rsidRPr="001D446A">
              <w:rPr>
                <w:rFonts w:cstheme="minorHAnsi"/>
                <w:sz w:val="24"/>
                <w:szCs w:val="24"/>
              </w:rPr>
              <w:t>Minimum Stroke Width (inches)</w:t>
            </w:r>
          </w:p>
        </w:tc>
      </w:tr>
      <w:tr w:rsidR="005B24EA" w14:paraId="76FC6678" w14:textId="77777777" w:rsidTr="005B24EA">
        <w:tc>
          <w:tcPr>
            <w:tcW w:w="3116" w:type="dxa"/>
            <w:gridSpan w:val="2"/>
          </w:tcPr>
          <w:p w14:paraId="15901872" w14:textId="159714BD" w:rsidR="005B24EA" w:rsidRPr="001D446A" w:rsidRDefault="001D446A" w:rsidP="001D446A">
            <w:pPr>
              <w:jc w:val="center"/>
              <w:rPr>
                <w:rFonts w:cstheme="minorHAnsi"/>
                <w:sz w:val="24"/>
                <w:szCs w:val="24"/>
              </w:rPr>
            </w:pPr>
            <w:r w:rsidRPr="001D446A">
              <w:rPr>
                <w:rFonts w:cstheme="minorHAnsi"/>
                <w:sz w:val="24"/>
                <w:szCs w:val="24"/>
              </w:rPr>
              <w:t>Less than 100</w:t>
            </w:r>
          </w:p>
        </w:tc>
        <w:tc>
          <w:tcPr>
            <w:tcW w:w="3117" w:type="dxa"/>
          </w:tcPr>
          <w:p w14:paraId="54068B74" w14:textId="23AAA477" w:rsidR="005B24EA" w:rsidRPr="001D446A" w:rsidRDefault="001D446A" w:rsidP="001D446A">
            <w:pPr>
              <w:jc w:val="center"/>
              <w:rPr>
                <w:rFonts w:cstheme="minorHAnsi"/>
                <w:sz w:val="24"/>
                <w:szCs w:val="24"/>
              </w:rPr>
            </w:pPr>
            <w:r w:rsidRPr="001D446A">
              <w:rPr>
                <w:rFonts w:cstheme="minorHAnsi"/>
                <w:sz w:val="24"/>
                <w:szCs w:val="24"/>
              </w:rPr>
              <w:t>4</w:t>
            </w:r>
          </w:p>
        </w:tc>
        <w:tc>
          <w:tcPr>
            <w:tcW w:w="3117" w:type="dxa"/>
          </w:tcPr>
          <w:p w14:paraId="1A20CA45" w14:textId="2A08A71B" w:rsidR="005B24EA" w:rsidRPr="001D446A" w:rsidRDefault="001D446A" w:rsidP="001D446A">
            <w:pPr>
              <w:jc w:val="center"/>
              <w:rPr>
                <w:rFonts w:cstheme="minorHAnsi"/>
                <w:sz w:val="24"/>
                <w:szCs w:val="24"/>
              </w:rPr>
            </w:pPr>
            <w:r w:rsidRPr="001D446A">
              <w:rPr>
                <w:rFonts w:cstheme="minorHAnsi"/>
                <w:sz w:val="24"/>
                <w:szCs w:val="24"/>
              </w:rPr>
              <w:t>½</w:t>
            </w:r>
          </w:p>
        </w:tc>
      </w:tr>
      <w:tr w:rsidR="001D446A" w14:paraId="08571E2F" w14:textId="77777777" w:rsidTr="00AE5834">
        <w:tc>
          <w:tcPr>
            <w:tcW w:w="1558" w:type="dxa"/>
          </w:tcPr>
          <w:p w14:paraId="7477715D" w14:textId="77BA8762" w:rsidR="001D446A" w:rsidRPr="001D446A" w:rsidRDefault="001D446A" w:rsidP="001D446A">
            <w:pPr>
              <w:jc w:val="center"/>
              <w:rPr>
                <w:rFonts w:cstheme="minorHAnsi"/>
                <w:sz w:val="24"/>
                <w:szCs w:val="24"/>
              </w:rPr>
            </w:pPr>
            <w:r w:rsidRPr="001D446A">
              <w:rPr>
                <w:rFonts w:cstheme="minorHAnsi"/>
                <w:sz w:val="24"/>
                <w:szCs w:val="24"/>
              </w:rPr>
              <w:t>100</w:t>
            </w:r>
          </w:p>
        </w:tc>
        <w:tc>
          <w:tcPr>
            <w:tcW w:w="1558" w:type="dxa"/>
          </w:tcPr>
          <w:p w14:paraId="4BF40CA5" w14:textId="502EBA1D" w:rsidR="001D446A" w:rsidRPr="001D446A" w:rsidRDefault="001D446A" w:rsidP="001D446A">
            <w:pPr>
              <w:jc w:val="center"/>
              <w:rPr>
                <w:rFonts w:cstheme="minorHAnsi"/>
                <w:sz w:val="24"/>
                <w:szCs w:val="24"/>
              </w:rPr>
            </w:pPr>
            <w:r w:rsidRPr="001D446A">
              <w:rPr>
                <w:rFonts w:cstheme="minorHAnsi"/>
                <w:sz w:val="24"/>
                <w:szCs w:val="24"/>
              </w:rPr>
              <w:t>199</w:t>
            </w:r>
          </w:p>
        </w:tc>
        <w:tc>
          <w:tcPr>
            <w:tcW w:w="3117" w:type="dxa"/>
          </w:tcPr>
          <w:p w14:paraId="6C95E3F0" w14:textId="64741E5A" w:rsidR="001D446A" w:rsidRPr="001D446A" w:rsidRDefault="001D446A" w:rsidP="001D446A">
            <w:pPr>
              <w:jc w:val="center"/>
              <w:rPr>
                <w:rFonts w:cstheme="minorHAnsi"/>
                <w:sz w:val="24"/>
                <w:szCs w:val="24"/>
              </w:rPr>
            </w:pPr>
            <w:r w:rsidRPr="001D446A">
              <w:rPr>
                <w:rFonts w:cstheme="minorHAnsi"/>
                <w:sz w:val="24"/>
                <w:szCs w:val="24"/>
              </w:rPr>
              <w:t>6</w:t>
            </w:r>
          </w:p>
        </w:tc>
        <w:tc>
          <w:tcPr>
            <w:tcW w:w="3117" w:type="dxa"/>
          </w:tcPr>
          <w:p w14:paraId="4D5671C3" w14:textId="1677DB87" w:rsidR="001D446A" w:rsidRPr="001D446A" w:rsidRDefault="001D446A" w:rsidP="001D446A">
            <w:pPr>
              <w:jc w:val="center"/>
              <w:rPr>
                <w:rFonts w:cstheme="minorHAnsi"/>
                <w:sz w:val="24"/>
                <w:szCs w:val="24"/>
              </w:rPr>
            </w:pPr>
            <w:r w:rsidRPr="001D446A">
              <w:rPr>
                <w:rFonts w:cstheme="minorHAnsi"/>
                <w:sz w:val="24"/>
                <w:szCs w:val="24"/>
              </w:rPr>
              <w:t>¾</w:t>
            </w:r>
          </w:p>
        </w:tc>
      </w:tr>
      <w:tr w:rsidR="001D446A" w14:paraId="15635A60" w14:textId="77777777" w:rsidTr="00992BFD">
        <w:tc>
          <w:tcPr>
            <w:tcW w:w="1558" w:type="dxa"/>
          </w:tcPr>
          <w:p w14:paraId="2E49DD98" w14:textId="5157458E" w:rsidR="001D446A" w:rsidRPr="001D446A" w:rsidRDefault="001D446A" w:rsidP="001D446A">
            <w:pPr>
              <w:jc w:val="center"/>
              <w:rPr>
                <w:rFonts w:cstheme="minorHAnsi"/>
                <w:sz w:val="24"/>
                <w:szCs w:val="24"/>
              </w:rPr>
            </w:pPr>
            <w:r w:rsidRPr="001D446A">
              <w:rPr>
                <w:rFonts w:cstheme="minorHAnsi"/>
                <w:sz w:val="24"/>
                <w:szCs w:val="24"/>
              </w:rPr>
              <w:t>200</w:t>
            </w:r>
          </w:p>
        </w:tc>
        <w:tc>
          <w:tcPr>
            <w:tcW w:w="1558" w:type="dxa"/>
          </w:tcPr>
          <w:p w14:paraId="112DAA79" w14:textId="3A585C46" w:rsidR="001D446A" w:rsidRPr="001D446A" w:rsidRDefault="001D446A" w:rsidP="001D446A">
            <w:pPr>
              <w:jc w:val="center"/>
              <w:rPr>
                <w:rFonts w:cstheme="minorHAnsi"/>
                <w:sz w:val="24"/>
                <w:szCs w:val="24"/>
              </w:rPr>
            </w:pPr>
            <w:r w:rsidRPr="001D446A">
              <w:rPr>
                <w:rFonts w:cstheme="minorHAnsi"/>
                <w:sz w:val="24"/>
                <w:szCs w:val="24"/>
              </w:rPr>
              <w:t>299</w:t>
            </w:r>
          </w:p>
        </w:tc>
        <w:tc>
          <w:tcPr>
            <w:tcW w:w="3117" w:type="dxa"/>
          </w:tcPr>
          <w:p w14:paraId="1FF19CAE" w14:textId="55BD5A94" w:rsidR="001D446A" w:rsidRPr="001D446A" w:rsidRDefault="001D446A" w:rsidP="001D446A">
            <w:pPr>
              <w:jc w:val="center"/>
              <w:rPr>
                <w:rFonts w:cstheme="minorHAnsi"/>
                <w:sz w:val="24"/>
                <w:szCs w:val="24"/>
              </w:rPr>
            </w:pPr>
            <w:r w:rsidRPr="001D446A">
              <w:rPr>
                <w:rFonts w:cstheme="minorHAnsi"/>
                <w:sz w:val="24"/>
                <w:szCs w:val="24"/>
              </w:rPr>
              <w:t>8</w:t>
            </w:r>
          </w:p>
        </w:tc>
        <w:tc>
          <w:tcPr>
            <w:tcW w:w="3117" w:type="dxa"/>
          </w:tcPr>
          <w:p w14:paraId="131485F2" w14:textId="0F2D805F" w:rsidR="001D446A" w:rsidRPr="001D446A" w:rsidRDefault="001D446A" w:rsidP="001D446A">
            <w:pPr>
              <w:jc w:val="center"/>
              <w:rPr>
                <w:rFonts w:cstheme="minorHAnsi"/>
                <w:sz w:val="24"/>
                <w:szCs w:val="24"/>
              </w:rPr>
            </w:pPr>
            <w:r w:rsidRPr="001D446A">
              <w:rPr>
                <w:rFonts w:cstheme="minorHAnsi"/>
                <w:sz w:val="24"/>
                <w:szCs w:val="24"/>
              </w:rPr>
              <w:t>1</w:t>
            </w:r>
          </w:p>
        </w:tc>
      </w:tr>
      <w:tr w:rsidR="005B24EA" w14:paraId="5DCC8CE5" w14:textId="77777777" w:rsidTr="005B24EA">
        <w:tc>
          <w:tcPr>
            <w:tcW w:w="3116" w:type="dxa"/>
            <w:gridSpan w:val="2"/>
          </w:tcPr>
          <w:p w14:paraId="1F8ED6F7" w14:textId="18237776" w:rsidR="005B24EA" w:rsidRPr="001D446A" w:rsidRDefault="001D446A" w:rsidP="001D446A">
            <w:pPr>
              <w:jc w:val="center"/>
              <w:rPr>
                <w:rFonts w:cstheme="minorHAnsi"/>
                <w:sz w:val="24"/>
                <w:szCs w:val="24"/>
              </w:rPr>
            </w:pPr>
            <w:r w:rsidRPr="001D446A">
              <w:rPr>
                <w:rFonts w:cstheme="minorHAnsi"/>
                <w:sz w:val="24"/>
                <w:szCs w:val="24"/>
              </w:rPr>
              <w:t>For each additional 100</w:t>
            </w:r>
          </w:p>
        </w:tc>
        <w:tc>
          <w:tcPr>
            <w:tcW w:w="3117" w:type="dxa"/>
          </w:tcPr>
          <w:p w14:paraId="45D97D26" w14:textId="2D430314" w:rsidR="005B24EA" w:rsidRPr="001D446A" w:rsidRDefault="001D446A" w:rsidP="001D446A">
            <w:pPr>
              <w:jc w:val="center"/>
              <w:rPr>
                <w:rFonts w:cstheme="minorHAnsi"/>
                <w:sz w:val="24"/>
                <w:szCs w:val="24"/>
              </w:rPr>
            </w:pPr>
            <w:r w:rsidRPr="001D446A">
              <w:rPr>
                <w:rFonts w:cstheme="minorHAnsi"/>
                <w:sz w:val="24"/>
                <w:szCs w:val="24"/>
              </w:rPr>
              <w:t>Increase 2</w:t>
            </w:r>
          </w:p>
        </w:tc>
        <w:tc>
          <w:tcPr>
            <w:tcW w:w="3117" w:type="dxa"/>
          </w:tcPr>
          <w:p w14:paraId="43A2F638" w14:textId="684B8411" w:rsidR="005B24EA" w:rsidRPr="001D446A" w:rsidRDefault="001D446A" w:rsidP="001D446A">
            <w:pPr>
              <w:jc w:val="center"/>
              <w:rPr>
                <w:rFonts w:cstheme="minorHAnsi"/>
                <w:sz w:val="24"/>
                <w:szCs w:val="24"/>
              </w:rPr>
            </w:pPr>
            <w:r w:rsidRPr="001D446A">
              <w:rPr>
                <w:rFonts w:cstheme="minorHAnsi"/>
                <w:sz w:val="24"/>
                <w:szCs w:val="24"/>
              </w:rPr>
              <w:t>Increase 1/2</w:t>
            </w:r>
          </w:p>
        </w:tc>
      </w:tr>
    </w:tbl>
    <w:p w14:paraId="2E582CFB" w14:textId="71EDDD4A" w:rsidR="005B24EA" w:rsidRDefault="001D446A" w:rsidP="005B24EA">
      <w:pPr>
        <w:rPr>
          <w:rFonts w:cstheme="minorHAnsi"/>
        </w:rPr>
      </w:pPr>
      <w:r>
        <w:rPr>
          <w:rFonts w:cstheme="minorHAnsi"/>
        </w:rPr>
        <w:t>Exterior suite identification, minimum height shall be 4 inches and stroke width shall be ½ inch.</w:t>
      </w:r>
    </w:p>
    <w:p w14:paraId="4D4F5CCA" w14:textId="46A2EDEF" w:rsidR="001D446A" w:rsidRDefault="001D446A" w:rsidP="005B24EA">
      <w:pPr>
        <w:rPr>
          <w:rFonts w:cstheme="minorHAnsi"/>
        </w:rPr>
      </w:pPr>
      <w:r>
        <w:rPr>
          <w:rFonts w:cstheme="minorHAnsi"/>
        </w:rPr>
        <w:t>Interior suite identification, minimum height shall be 2 inches and stroke width shall be ¼ inch.</w:t>
      </w:r>
    </w:p>
    <w:p w14:paraId="2E55AFCC" w14:textId="77777777" w:rsidR="009C47CF" w:rsidRDefault="009C47CF" w:rsidP="001D446A">
      <w:pPr>
        <w:autoSpaceDE w:val="0"/>
        <w:autoSpaceDN w:val="0"/>
        <w:adjustRightInd w:val="0"/>
        <w:spacing w:after="0" w:line="240" w:lineRule="auto"/>
        <w:rPr>
          <w:rFonts w:ascii="Arial" w:hAnsi="Arial" w:cs="Arial"/>
          <w:color w:val="000000"/>
          <w:sz w:val="20"/>
          <w:szCs w:val="20"/>
        </w:rPr>
      </w:pPr>
    </w:p>
    <w:p w14:paraId="4ED8D100" w14:textId="77777777" w:rsidR="009C47CF" w:rsidRDefault="009C47CF" w:rsidP="009C47CF">
      <w:pPr>
        <w:autoSpaceDE w:val="0"/>
        <w:autoSpaceDN w:val="0"/>
        <w:adjustRightInd w:val="0"/>
        <w:spacing w:after="0" w:line="240" w:lineRule="auto"/>
        <w:rPr>
          <w:rFonts w:cstheme="minorHAnsi"/>
          <w:color w:val="000000"/>
        </w:rPr>
      </w:pPr>
    </w:p>
    <w:p w14:paraId="58475989" w14:textId="02BDD2C3" w:rsidR="00E11E35" w:rsidRDefault="00E11E35" w:rsidP="00E11E35">
      <w:pPr>
        <w:autoSpaceDE w:val="0"/>
        <w:autoSpaceDN w:val="0"/>
        <w:adjustRightInd w:val="0"/>
        <w:spacing w:after="0" w:line="240" w:lineRule="auto"/>
        <w:rPr>
          <w:rFonts w:cstheme="minorHAnsi"/>
          <w:color w:val="000000"/>
        </w:rPr>
      </w:pPr>
      <w:r w:rsidRPr="00E11E35">
        <w:rPr>
          <w:rFonts w:cstheme="minorHAnsi"/>
          <w:color w:val="000000"/>
        </w:rPr>
        <w:t>Modify Code Section: IBC 903.4.2</w:t>
      </w:r>
    </w:p>
    <w:p w14:paraId="159E7FB5" w14:textId="77777777" w:rsidR="00E11E35" w:rsidRPr="00E11E35" w:rsidRDefault="00E11E35" w:rsidP="00E11E35">
      <w:pPr>
        <w:autoSpaceDE w:val="0"/>
        <w:autoSpaceDN w:val="0"/>
        <w:adjustRightInd w:val="0"/>
        <w:spacing w:after="0" w:line="240" w:lineRule="auto"/>
        <w:rPr>
          <w:rFonts w:cstheme="minorHAnsi"/>
          <w:color w:val="000000"/>
        </w:rPr>
      </w:pPr>
    </w:p>
    <w:p w14:paraId="4442BF27" w14:textId="77777777" w:rsidR="00E11E35" w:rsidRPr="00E11E35" w:rsidRDefault="00E11E35" w:rsidP="00E11E35">
      <w:pPr>
        <w:autoSpaceDE w:val="0"/>
        <w:autoSpaceDN w:val="0"/>
        <w:adjustRightInd w:val="0"/>
        <w:spacing w:after="0" w:line="240" w:lineRule="auto"/>
        <w:rPr>
          <w:rFonts w:cstheme="minorHAnsi"/>
          <w:color w:val="000000"/>
        </w:rPr>
      </w:pPr>
      <w:r w:rsidRPr="00E11E35">
        <w:rPr>
          <w:rFonts w:cstheme="minorHAnsi"/>
          <w:color w:val="000000"/>
        </w:rPr>
        <w:t xml:space="preserve">Replace with the following language: </w:t>
      </w:r>
    </w:p>
    <w:p w14:paraId="21DD128B" w14:textId="77777777" w:rsidR="00E11E35" w:rsidRDefault="00E11E35" w:rsidP="00E11E35">
      <w:pPr>
        <w:autoSpaceDE w:val="0"/>
        <w:autoSpaceDN w:val="0"/>
        <w:adjustRightInd w:val="0"/>
        <w:spacing w:after="0" w:line="240" w:lineRule="auto"/>
        <w:rPr>
          <w:rFonts w:cstheme="minorHAnsi"/>
          <w:color w:val="000000"/>
        </w:rPr>
      </w:pPr>
    </w:p>
    <w:p w14:paraId="4FAC019A" w14:textId="7C960224" w:rsidR="00E11E35" w:rsidRPr="00E11E35" w:rsidRDefault="00E11E35" w:rsidP="00E11E35">
      <w:pPr>
        <w:autoSpaceDE w:val="0"/>
        <w:autoSpaceDN w:val="0"/>
        <w:adjustRightInd w:val="0"/>
        <w:spacing w:after="0" w:line="240" w:lineRule="auto"/>
        <w:ind w:firstLine="720"/>
        <w:rPr>
          <w:rFonts w:cstheme="minorHAnsi"/>
          <w:color w:val="000000"/>
        </w:rPr>
      </w:pPr>
      <w:r w:rsidRPr="00E11E35">
        <w:rPr>
          <w:rFonts w:cstheme="minorHAnsi"/>
          <w:color w:val="000000"/>
        </w:rPr>
        <w:t xml:space="preserve">903.4.2 Alarms. </w:t>
      </w:r>
    </w:p>
    <w:p w14:paraId="14C640E6" w14:textId="3FC2336B" w:rsidR="00E11E35" w:rsidRPr="00E11E35" w:rsidRDefault="00E11E35" w:rsidP="00E11E35">
      <w:pPr>
        <w:autoSpaceDE w:val="0"/>
        <w:autoSpaceDN w:val="0"/>
        <w:adjustRightInd w:val="0"/>
        <w:spacing w:after="0" w:line="240" w:lineRule="auto"/>
        <w:ind w:left="720"/>
        <w:rPr>
          <w:rFonts w:cstheme="minorHAnsi"/>
          <w:color w:val="000000"/>
        </w:rPr>
      </w:pPr>
      <w:r w:rsidRPr="00E11E35">
        <w:rPr>
          <w:rFonts w:cstheme="minorHAnsi"/>
          <w:i/>
          <w:iCs/>
          <w:color w:val="000000"/>
        </w:rPr>
        <w:t xml:space="preserve">An approved weatherproof audible device suitable for outdoor use with </w:t>
      </w:r>
      <w:r w:rsidRPr="00E11E35">
        <w:rPr>
          <w:rFonts w:cstheme="minorHAnsi"/>
          <w:color w:val="000000"/>
        </w:rPr>
        <w:t xml:space="preserve">110 candela visual signal shall be connected to every </w:t>
      </w:r>
      <w:r w:rsidRPr="00E11E35">
        <w:rPr>
          <w:rFonts w:cstheme="minorHAnsi"/>
          <w:i/>
          <w:iCs/>
          <w:color w:val="000000"/>
        </w:rPr>
        <w:t>automatic sprinkler system</w:t>
      </w:r>
      <w:r w:rsidRPr="00E11E35">
        <w:rPr>
          <w:rFonts w:cstheme="minorHAnsi"/>
          <w:color w:val="000000"/>
        </w:rPr>
        <w:t xml:space="preserve">. Such sprinkler water-flow alarm devices shall be activated by water flow equivalent to the flow of a single sprinkler of the smallest orifice size installed in the system. Alarm devices shall be provided on the exterior of the building in an </w:t>
      </w:r>
      <w:r w:rsidRPr="00E11E35">
        <w:rPr>
          <w:rFonts w:cstheme="minorHAnsi"/>
          <w:i/>
          <w:iCs/>
          <w:color w:val="000000"/>
        </w:rPr>
        <w:t xml:space="preserve">approved </w:t>
      </w:r>
      <w:r w:rsidRPr="00E11E35">
        <w:rPr>
          <w:rFonts w:cstheme="minorHAnsi"/>
          <w:color w:val="000000"/>
        </w:rPr>
        <w:t xml:space="preserve">location. Where a fire alarm system is installed, actuation of the </w:t>
      </w:r>
      <w:r w:rsidRPr="00E11E35">
        <w:rPr>
          <w:rFonts w:cstheme="minorHAnsi"/>
          <w:i/>
          <w:iCs/>
          <w:color w:val="000000"/>
        </w:rPr>
        <w:t xml:space="preserve">automatic sprinkler system </w:t>
      </w:r>
      <w:r w:rsidRPr="00E11E35">
        <w:rPr>
          <w:rFonts w:cstheme="minorHAnsi"/>
          <w:color w:val="000000"/>
        </w:rPr>
        <w:t xml:space="preserve">shall actuate the building fire alarm system. </w:t>
      </w:r>
    </w:p>
    <w:p w14:paraId="3082D2DD" w14:textId="77777777" w:rsidR="00E11E35" w:rsidRDefault="00E11E35" w:rsidP="00E11E35">
      <w:pPr>
        <w:autoSpaceDE w:val="0"/>
        <w:autoSpaceDN w:val="0"/>
        <w:adjustRightInd w:val="0"/>
        <w:spacing w:after="0" w:line="240" w:lineRule="auto"/>
        <w:rPr>
          <w:rFonts w:cstheme="minorHAnsi"/>
          <w:color w:val="000000"/>
        </w:rPr>
      </w:pPr>
    </w:p>
    <w:p w14:paraId="14B463C4" w14:textId="7852C527" w:rsidR="00E11E35" w:rsidRDefault="00E11E35" w:rsidP="00E11E35">
      <w:pPr>
        <w:autoSpaceDE w:val="0"/>
        <w:autoSpaceDN w:val="0"/>
        <w:adjustRightInd w:val="0"/>
        <w:spacing w:after="0" w:line="240" w:lineRule="auto"/>
        <w:rPr>
          <w:rFonts w:cstheme="minorHAnsi"/>
          <w:color w:val="000000"/>
        </w:rPr>
      </w:pPr>
      <w:r w:rsidRPr="00E11E35">
        <w:rPr>
          <w:rFonts w:cstheme="minorHAnsi"/>
          <w:color w:val="000000"/>
        </w:rPr>
        <w:t>Insert Code Section: IBC 905.3.9</w:t>
      </w:r>
    </w:p>
    <w:p w14:paraId="1A6253DE" w14:textId="77777777" w:rsidR="00E11E35" w:rsidRPr="00E11E35" w:rsidRDefault="00E11E35" w:rsidP="00E11E35">
      <w:pPr>
        <w:autoSpaceDE w:val="0"/>
        <w:autoSpaceDN w:val="0"/>
        <w:adjustRightInd w:val="0"/>
        <w:spacing w:after="0" w:line="240" w:lineRule="auto"/>
        <w:rPr>
          <w:rFonts w:cstheme="minorHAnsi"/>
          <w:color w:val="000000"/>
        </w:rPr>
      </w:pPr>
    </w:p>
    <w:p w14:paraId="6764101F" w14:textId="77777777" w:rsidR="00E11E35" w:rsidRPr="00E11E35" w:rsidRDefault="00E11E35" w:rsidP="00E11E35">
      <w:pPr>
        <w:autoSpaceDE w:val="0"/>
        <w:autoSpaceDN w:val="0"/>
        <w:adjustRightInd w:val="0"/>
        <w:spacing w:after="0" w:line="240" w:lineRule="auto"/>
        <w:rPr>
          <w:rFonts w:cstheme="minorHAnsi"/>
          <w:color w:val="000000"/>
        </w:rPr>
      </w:pPr>
      <w:r w:rsidRPr="00E11E35">
        <w:rPr>
          <w:rFonts w:cstheme="minorHAnsi"/>
          <w:color w:val="000000"/>
        </w:rPr>
        <w:t xml:space="preserve">Language: </w:t>
      </w:r>
    </w:p>
    <w:p w14:paraId="0CD4B4D9" w14:textId="77777777" w:rsidR="00E11E35" w:rsidRDefault="00E11E35" w:rsidP="00E11E35">
      <w:pPr>
        <w:autoSpaceDE w:val="0"/>
        <w:autoSpaceDN w:val="0"/>
        <w:adjustRightInd w:val="0"/>
        <w:spacing w:after="0" w:line="240" w:lineRule="auto"/>
        <w:rPr>
          <w:rFonts w:cstheme="minorHAnsi"/>
          <w:color w:val="000000"/>
        </w:rPr>
      </w:pPr>
    </w:p>
    <w:p w14:paraId="04CB5EC4" w14:textId="4938384D" w:rsidR="00E11E35" w:rsidRPr="00E11E35" w:rsidRDefault="00E11E35" w:rsidP="00E11E35">
      <w:pPr>
        <w:autoSpaceDE w:val="0"/>
        <w:autoSpaceDN w:val="0"/>
        <w:adjustRightInd w:val="0"/>
        <w:spacing w:after="0" w:line="240" w:lineRule="auto"/>
        <w:ind w:firstLine="720"/>
        <w:rPr>
          <w:rFonts w:cstheme="minorHAnsi"/>
          <w:color w:val="000000"/>
        </w:rPr>
      </w:pPr>
      <w:r w:rsidRPr="00E11E35">
        <w:rPr>
          <w:rFonts w:cstheme="minorHAnsi"/>
          <w:color w:val="000000"/>
        </w:rPr>
        <w:t xml:space="preserve">905.3.9 Building Footprint and Access </w:t>
      </w:r>
    </w:p>
    <w:p w14:paraId="7A55DD4B" w14:textId="572A9843" w:rsidR="00E11E35" w:rsidRDefault="00E11E35" w:rsidP="00E11E35">
      <w:pPr>
        <w:ind w:left="720"/>
        <w:rPr>
          <w:rFonts w:cstheme="minorHAnsi"/>
          <w:color w:val="000000"/>
        </w:rPr>
      </w:pPr>
      <w:r w:rsidRPr="00E11E35">
        <w:rPr>
          <w:rFonts w:cstheme="minorHAnsi"/>
          <w:color w:val="000000"/>
        </w:rPr>
        <w:t xml:space="preserve">Where the most remote portion of a floor or story is more than 400 feet from a hose connection or fire department access road the fire code official is authorized to require standpipes to be provided in </w:t>
      </w:r>
      <w:r w:rsidRPr="00E11E35">
        <w:rPr>
          <w:rFonts w:cstheme="minorHAnsi"/>
          <w:i/>
          <w:iCs/>
          <w:color w:val="000000"/>
        </w:rPr>
        <w:t xml:space="preserve">approved </w:t>
      </w:r>
      <w:r w:rsidRPr="00E11E35">
        <w:rPr>
          <w:rFonts w:cstheme="minorHAnsi"/>
          <w:color w:val="000000"/>
        </w:rPr>
        <w:t>locations. Class I manual standpipes shall be allowed.</w:t>
      </w:r>
    </w:p>
    <w:p w14:paraId="3C4F7D94" w14:textId="183A5933" w:rsidR="00E11E35" w:rsidRDefault="00E11E35" w:rsidP="00E11E35">
      <w:pPr>
        <w:autoSpaceDE w:val="0"/>
        <w:autoSpaceDN w:val="0"/>
        <w:adjustRightInd w:val="0"/>
        <w:spacing w:after="0" w:line="240" w:lineRule="auto"/>
        <w:rPr>
          <w:rFonts w:cstheme="minorHAnsi"/>
          <w:color w:val="000000"/>
        </w:rPr>
      </w:pPr>
      <w:r w:rsidRPr="00E11E35">
        <w:rPr>
          <w:rFonts w:cstheme="minorHAnsi"/>
          <w:color w:val="000000"/>
        </w:rPr>
        <w:t>Modify Code Section: IBC 1008.3.3</w:t>
      </w:r>
    </w:p>
    <w:p w14:paraId="117CA6CA" w14:textId="77777777" w:rsidR="00E11E35" w:rsidRPr="00E11E35" w:rsidRDefault="00E11E35" w:rsidP="00E11E35">
      <w:pPr>
        <w:autoSpaceDE w:val="0"/>
        <w:autoSpaceDN w:val="0"/>
        <w:adjustRightInd w:val="0"/>
        <w:spacing w:after="0" w:line="240" w:lineRule="auto"/>
        <w:rPr>
          <w:rFonts w:cstheme="minorHAnsi"/>
          <w:color w:val="000000"/>
        </w:rPr>
      </w:pPr>
    </w:p>
    <w:p w14:paraId="50917A92" w14:textId="76173BC4" w:rsidR="00E11E35" w:rsidRDefault="00E11E35" w:rsidP="00E11E35">
      <w:pPr>
        <w:autoSpaceDE w:val="0"/>
        <w:autoSpaceDN w:val="0"/>
        <w:adjustRightInd w:val="0"/>
        <w:spacing w:after="0" w:line="240" w:lineRule="auto"/>
        <w:rPr>
          <w:rFonts w:cstheme="minorHAnsi"/>
          <w:color w:val="000000"/>
        </w:rPr>
      </w:pPr>
      <w:r w:rsidRPr="00E11E35">
        <w:rPr>
          <w:rFonts w:cstheme="minorHAnsi"/>
          <w:color w:val="000000"/>
        </w:rPr>
        <w:t xml:space="preserve">Replace with the following language: </w:t>
      </w:r>
    </w:p>
    <w:p w14:paraId="745CCABB" w14:textId="77777777" w:rsidR="00E11E35" w:rsidRPr="00E11E35" w:rsidRDefault="00E11E35" w:rsidP="00E11E35">
      <w:pPr>
        <w:autoSpaceDE w:val="0"/>
        <w:autoSpaceDN w:val="0"/>
        <w:adjustRightInd w:val="0"/>
        <w:spacing w:after="0" w:line="240" w:lineRule="auto"/>
        <w:rPr>
          <w:rFonts w:cstheme="minorHAnsi"/>
          <w:color w:val="000000"/>
        </w:rPr>
      </w:pPr>
    </w:p>
    <w:p w14:paraId="78180AC7" w14:textId="2338DFB5" w:rsidR="00E11E35" w:rsidRPr="00E11E35" w:rsidRDefault="00E11E35" w:rsidP="00E11E35">
      <w:pPr>
        <w:autoSpaceDE w:val="0"/>
        <w:autoSpaceDN w:val="0"/>
        <w:adjustRightInd w:val="0"/>
        <w:spacing w:after="0" w:line="240" w:lineRule="auto"/>
        <w:ind w:left="720"/>
        <w:rPr>
          <w:rFonts w:cstheme="minorHAnsi"/>
          <w:color w:val="000000"/>
        </w:rPr>
      </w:pPr>
      <w:r w:rsidRPr="00E11E35">
        <w:rPr>
          <w:rFonts w:cstheme="minorHAnsi"/>
          <w:color w:val="000000"/>
        </w:rPr>
        <w:t xml:space="preserve">1008.3.3 Rooms and spaces. In the event of a power supply failure, an emergency electrical system shall automatically illuminate all the following areas: </w:t>
      </w:r>
    </w:p>
    <w:p w14:paraId="4D626908" w14:textId="77777777" w:rsidR="00E11E35" w:rsidRPr="00E11E35" w:rsidRDefault="00E11E35" w:rsidP="00E11E35">
      <w:pPr>
        <w:autoSpaceDE w:val="0"/>
        <w:autoSpaceDN w:val="0"/>
        <w:adjustRightInd w:val="0"/>
        <w:spacing w:after="0" w:line="240" w:lineRule="auto"/>
        <w:ind w:firstLine="720"/>
        <w:rPr>
          <w:rFonts w:cstheme="minorHAnsi"/>
          <w:color w:val="000000"/>
        </w:rPr>
      </w:pPr>
      <w:r w:rsidRPr="00E11E35">
        <w:rPr>
          <w:rFonts w:cstheme="minorHAnsi"/>
          <w:color w:val="000000"/>
        </w:rPr>
        <w:t xml:space="preserve">1. Electrical equipment rooms </w:t>
      </w:r>
    </w:p>
    <w:p w14:paraId="536431BF" w14:textId="77777777" w:rsidR="00E11E35" w:rsidRPr="00E11E35" w:rsidRDefault="00E11E35" w:rsidP="00E11E35">
      <w:pPr>
        <w:autoSpaceDE w:val="0"/>
        <w:autoSpaceDN w:val="0"/>
        <w:adjustRightInd w:val="0"/>
        <w:spacing w:after="0" w:line="240" w:lineRule="auto"/>
        <w:ind w:firstLine="720"/>
        <w:rPr>
          <w:rFonts w:cstheme="minorHAnsi"/>
          <w:color w:val="000000"/>
        </w:rPr>
      </w:pPr>
      <w:r w:rsidRPr="00E11E35">
        <w:rPr>
          <w:rFonts w:cstheme="minorHAnsi"/>
          <w:color w:val="000000"/>
        </w:rPr>
        <w:t xml:space="preserve">2. Fire command centers </w:t>
      </w:r>
    </w:p>
    <w:p w14:paraId="45D53E0F" w14:textId="77777777" w:rsidR="00E11E35" w:rsidRPr="00E11E35" w:rsidRDefault="00E11E35" w:rsidP="00E11E35">
      <w:pPr>
        <w:autoSpaceDE w:val="0"/>
        <w:autoSpaceDN w:val="0"/>
        <w:adjustRightInd w:val="0"/>
        <w:spacing w:after="0" w:line="240" w:lineRule="auto"/>
        <w:ind w:firstLine="720"/>
        <w:rPr>
          <w:rFonts w:cstheme="minorHAnsi"/>
          <w:color w:val="000000"/>
        </w:rPr>
      </w:pPr>
      <w:r w:rsidRPr="00E11E35">
        <w:rPr>
          <w:rFonts w:cstheme="minorHAnsi"/>
          <w:color w:val="000000"/>
        </w:rPr>
        <w:t xml:space="preserve">3. Fire pump rooms </w:t>
      </w:r>
    </w:p>
    <w:p w14:paraId="20BA9ED7" w14:textId="77777777" w:rsidR="00E11E35" w:rsidRPr="00E11E35" w:rsidRDefault="00E11E35" w:rsidP="00E11E35">
      <w:pPr>
        <w:autoSpaceDE w:val="0"/>
        <w:autoSpaceDN w:val="0"/>
        <w:adjustRightInd w:val="0"/>
        <w:spacing w:after="0" w:line="240" w:lineRule="auto"/>
        <w:ind w:firstLine="720"/>
        <w:rPr>
          <w:rFonts w:cstheme="minorHAnsi"/>
          <w:color w:val="000000"/>
        </w:rPr>
      </w:pPr>
      <w:r w:rsidRPr="00E11E35">
        <w:rPr>
          <w:rFonts w:cstheme="minorHAnsi"/>
          <w:color w:val="000000"/>
        </w:rPr>
        <w:t xml:space="preserve">4. Generator rooms </w:t>
      </w:r>
    </w:p>
    <w:p w14:paraId="326C6C55" w14:textId="77777777" w:rsidR="00E11E35" w:rsidRPr="00E11E35" w:rsidRDefault="00E11E35" w:rsidP="00E11E35">
      <w:pPr>
        <w:autoSpaceDE w:val="0"/>
        <w:autoSpaceDN w:val="0"/>
        <w:adjustRightInd w:val="0"/>
        <w:spacing w:after="0" w:line="240" w:lineRule="auto"/>
        <w:ind w:firstLine="720"/>
        <w:rPr>
          <w:rFonts w:cstheme="minorHAnsi"/>
          <w:color w:val="000000"/>
        </w:rPr>
      </w:pPr>
      <w:r w:rsidRPr="00E11E35">
        <w:rPr>
          <w:rFonts w:cstheme="minorHAnsi"/>
          <w:color w:val="000000"/>
        </w:rPr>
        <w:t xml:space="preserve">5. Public restrooms that contain more than one water closet/urinal or that are accessible </w:t>
      </w:r>
    </w:p>
    <w:p w14:paraId="0484C4A3" w14:textId="77777777" w:rsidR="00E11E35" w:rsidRPr="00E11E35" w:rsidRDefault="00E11E35" w:rsidP="00E11E35">
      <w:pPr>
        <w:autoSpaceDE w:val="0"/>
        <w:autoSpaceDN w:val="0"/>
        <w:adjustRightInd w:val="0"/>
        <w:spacing w:after="0" w:line="240" w:lineRule="auto"/>
        <w:ind w:firstLine="720"/>
        <w:rPr>
          <w:rFonts w:cstheme="minorHAnsi"/>
          <w:color w:val="000000"/>
        </w:rPr>
      </w:pPr>
      <w:r w:rsidRPr="00E11E35">
        <w:rPr>
          <w:rFonts w:cstheme="minorHAnsi"/>
          <w:color w:val="000000"/>
        </w:rPr>
        <w:t xml:space="preserve">6. Meeting/conference rooms with an area greater than 400 square feet. </w:t>
      </w:r>
    </w:p>
    <w:p w14:paraId="18201B5B" w14:textId="45FDF25F" w:rsidR="00E11E35" w:rsidRDefault="00E11E35" w:rsidP="00650E25">
      <w:pPr>
        <w:spacing w:after="0"/>
        <w:ind w:firstLine="720"/>
        <w:rPr>
          <w:rFonts w:cstheme="minorHAnsi"/>
          <w:color w:val="000000"/>
        </w:rPr>
      </w:pPr>
      <w:r w:rsidRPr="00E11E35">
        <w:rPr>
          <w:rFonts w:cstheme="minorHAnsi"/>
          <w:color w:val="000000"/>
        </w:rPr>
        <w:t>7. Classrooms in an E occupancy with an area greater than 400 square feet.</w:t>
      </w:r>
    </w:p>
    <w:p w14:paraId="3A47F676" w14:textId="77777777" w:rsidR="00650E25" w:rsidRPr="00E11E35" w:rsidRDefault="00650E25" w:rsidP="00650E25">
      <w:pPr>
        <w:spacing w:after="0"/>
        <w:ind w:firstLine="720"/>
        <w:rPr>
          <w:rFonts w:cstheme="minorHAnsi"/>
          <w:color w:val="000000"/>
        </w:rPr>
      </w:pPr>
    </w:p>
    <w:p w14:paraId="2C2471BD" w14:textId="4167B6B8" w:rsidR="00E11E35" w:rsidRPr="00E11E35" w:rsidRDefault="00E11E35" w:rsidP="00E11E35">
      <w:pPr>
        <w:autoSpaceDE w:val="0"/>
        <w:autoSpaceDN w:val="0"/>
        <w:adjustRightInd w:val="0"/>
        <w:spacing w:after="0" w:line="240" w:lineRule="auto"/>
        <w:rPr>
          <w:rFonts w:cstheme="minorHAnsi"/>
          <w:color w:val="000000"/>
        </w:rPr>
      </w:pPr>
      <w:r w:rsidRPr="00E11E35">
        <w:rPr>
          <w:rFonts w:cstheme="minorHAnsi"/>
          <w:color w:val="000000"/>
        </w:rPr>
        <w:t>Modify Code Section: IBC 1009.2</w:t>
      </w:r>
    </w:p>
    <w:p w14:paraId="42D99087" w14:textId="77777777" w:rsidR="00E11E35" w:rsidRPr="00E11E35" w:rsidRDefault="00E11E35" w:rsidP="00E11E35">
      <w:pPr>
        <w:autoSpaceDE w:val="0"/>
        <w:autoSpaceDN w:val="0"/>
        <w:adjustRightInd w:val="0"/>
        <w:spacing w:after="0" w:line="240" w:lineRule="auto"/>
        <w:rPr>
          <w:rFonts w:cstheme="minorHAnsi"/>
          <w:color w:val="000000"/>
        </w:rPr>
      </w:pPr>
    </w:p>
    <w:p w14:paraId="55B00736" w14:textId="77777777" w:rsidR="00650E25" w:rsidRDefault="00E11E35" w:rsidP="00650E25">
      <w:pPr>
        <w:autoSpaceDE w:val="0"/>
        <w:autoSpaceDN w:val="0"/>
        <w:adjustRightInd w:val="0"/>
        <w:spacing w:after="0" w:line="240" w:lineRule="auto"/>
        <w:rPr>
          <w:rFonts w:cstheme="minorHAnsi"/>
          <w:color w:val="000000"/>
        </w:rPr>
      </w:pPr>
      <w:r w:rsidRPr="00E11E35">
        <w:rPr>
          <w:rFonts w:cstheme="minorHAnsi"/>
          <w:color w:val="000000"/>
        </w:rPr>
        <w:t xml:space="preserve">Add Item # 11 with the following language: </w:t>
      </w:r>
    </w:p>
    <w:p w14:paraId="0347E186" w14:textId="77777777" w:rsidR="00650E25" w:rsidRDefault="00650E25" w:rsidP="00650E25">
      <w:pPr>
        <w:autoSpaceDE w:val="0"/>
        <w:autoSpaceDN w:val="0"/>
        <w:adjustRightInd w:val="0"/>
        <w:spacing w:after="0" w:line="240" w:lineRule="auto"/>
        <w:ind w:firstLine="720"/>
        <w:rPr>
          <w:rFonts w:cstheme="minorHAnsi"/>
          <w:color w:val="000000"/>
        </w:rPr>
      </w:pPr>
    </w:p>
    <w:p w14:paraId="683A7AD1" w14:textId="77A389CC" w:rsidR="00E11E35" w:rsidRDefault="00E11E35" w:rsidP="00650E25">
      <w:pPr>
        <w:autoSpaceDE w:val="0"/>
        <w:autoSpaceDN w:val="0"/>
        <w:adjustRightInd w:val="0"/>
        <w:spacing w:after="0" w:line="240" w:lineRule="auto"/>
        <w:ind w:left="720"/>
        <w:rPr>
          <w:rFonts w:cstheme="minorHAnsi"/>
          <w:color w:val="000000"/>
        </w:rPr>
      </w:pPr>
      <w:r w:rsidRPr="00E11E35">
        <w:rPr>
          <w:rFonts w:cstheme="minorHAnsi"/>
          <w:color w:val="000000"/>
        </w:rPr>
        <w:t xml:space="preserve">11. Components of exterior walking surfaces shall be concrete, asphalt, or </w:t>
      </w:r>
      <w:proofErr w:type="gramStart"/>
      <w:r w:rsidRPr="00E11E35">
        <w:rPr>
          <w:rFonts w:cstheme="minorHAnsi"/>
          <w:color w:val="000000"/>
        </w:rPr>
        <w:t>other</w:t>
      </w:r>
      <w:proofErr w:type="gramEnd"/>
      <w:r w:rsidRPr="00E11E35">
        <w:rPr>
          <w:rFonts w:cstheme="minorHAnsi"/>
          <w:color w:val="000000"/>
        </w:rPr>
        <w:t xml:space="preserve"> approved hard surface.</w:t>
      </w:r>
    </w:p>
    <w:p w14:paraId="31C20815" w14:textId="77777777" w:rsidR="00650E25" w:rsidRDefault="00650E25" w:rsidP="00650E25">
      <w:pPr>
        <w:autoSpaceDE w:val="0"/>
        <w:autoSpaceDN w:val="0"/>
        <w:adjustRightInd w:val="0"/>
        <w:spacing w:after="0" w:line="240" w:lineRule="auto"/>
        <w:rPr>
          <w:rFonts w:cstheme="minorHAnsi"/>
          <w:color w:val="000000"/>
        </w:rPr>
      </w:pPr>
    </w:p>
    <w:p w14:paraId="3196C18D" w14:textId="77777777" w:rsidR="0031736F" w:rsidRDefault="0031736F" w:rsidP="00650E25">
      <w:pPr>
        <w:autoSpaceDE w:val="0"/>
        <w:autoSpaceDN w:val="0"/>
        <w:adjustRightInd w:val="0"/>
        <w:spacing w:after="0" w:line="240" w:lineRule="auto"/>
        <w:rPr>
          <w:rFonts w:cstheme="minorHAnsi"/>
          <w:color w:val="000000"/>
        </w:rPr>
      </w:pPr>
    </w:p>
    <w:p w14:paraId="3A8166A2" w14:textId="77777777" w:rsidR="0031736F" w:rsidRDefault="0031736F" w:rsidP="00650E25">
      <w:pPr>
        <w:autoSpaceDE w:val="0"/>
        <w:autoSpaceDN w:val="0"/>
        <w:adjustRightInd w:val="0"/>
        <w:spacing w:after="0" w:line="240" w:lineRule="auto"/>
        <w:rPr>
          <w:rFonts w:cstheme="minorHAnsi"/>
          <w:color w:val="000000"/>
        </w:rPr>
      </w:pPr>
    </w:p>
    <w:p w14:paraId="0D8CFF7E" w14:textId="77777777" w:rsidR="0031736F" w:rsidRDefault="0031736F" w:rsidP="00650E25">
      <w:pPr>
        <w:autoSpaceDE w:val="0"/>
        <w:autoSpaceDN w:val="0"/>
        <w:adjustRightInd w:val="0"/>
        <w:spacing w:after="0" w:line="240" w:lineRule="auto"/>
        <w:rPr>
          <w:rFonts w:cstheme="minorHAnsi"/>
          <w:color w:val="000000"/>
        </w:rPr>
      </w:pPr>
    </w:p>
    <w:p w14:paraId="226583C5" w14:textId="77777777" w:rsidR="0031736F" w:rsidRDefault="0031736F" w:rsidP="00650E25">
      <w:pPr>
        <w:autoSpaceDE w:val="0"/>
        <w:autoSpaceDN w:val="0"/>
        <w:adjustRightInd w:val="0"/>
        <w:spacing w:after="0" w:line="240" w:lineRule="auto"/>
        <w:rPr>
          <w:rFonts w:cstheme="minorHAnsi"/>
          <w:color w:val="000000"/>
        </w:rPr>
      </w:pPr>
    </w:p>
    <w:p w14:paraId="2301E20C" w14:textId="75323699"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lastRenderedPageBreak/>
        <w:t>Add Code Section: IBC 1010.1.6.1</w:t>
      </w:r>
    </w:p>
    <w:p w14:paraId="06720EC9" w14:textId="77777777" w:rsidR="00650E25" w:rsidRPr="00650E25" w:rsidRDefault="00650E25" w:rsidP="00650E25">
      <w:pPr>
        <w:autoSpaceDE w:val="0"/>
        <w:autoSpaceDN w:val="0"/>
        <w:adjustRightInd w:val="0"/>
        <w:spacing w:after="0" w:line="240" w:lineRule="auto"/>
        <w:rPr>
          <w:rFonts w:cstheme="minorHAnsi"/>
          <w:color w:val="000000"/>
        </w:rPr>
      </w:pPr>
    </w:p>
    <w:p w14:paraId="1A49B8A2" w14:textId="60ADF41C"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Insert the following language: </w:t>
      </w:r>
    </w:p>
    <w:p w14:paraId="0C7AADC4" w14:textId="77777777" w:rsidR="00650E25" w:rsidRPr="00650E25" w:rsidRDefault="00650E25" w:rsidP="00650E25">
      <w:pPr>
        <w:autoSpaceDE w:val="0"/>
        <w:autoSpaceDN w:val="0"/>
        <w:adjustRightInd w:val="0"/>
        <w:spacing w:after="0" w:line="240" w:lineRule="auto"/>
        <w:rPr>
          <w:rFonts w:cstheme="minorHAnsi"/>
          <w:color w:val="000000"/>
        </w:rPr>
      </w:pPr>
    </w:p>
    <w:p w14:paraId="193CE344" w14:textId="77777777" w:rsidR="00650E25" w:rsidRPr="00650E25" w:rsidRDefault="00650E25" w:rsidP="00650E25">
      <w:pPr>
        <w:autoSpaceDE w:val="0"/>
        <w:autoSpaceDN w:val="0"/>
        <w:adjustRightInd w:val="0"/>
        <w:spacing w:after="0" w:line="240" w:lineRule="auto"/>
        <w:ind w:left="720"/>
        <w:rPr>
          <w:rFonts w:cstheme="minorHAnsi"/>
          <w:color w:val="000000"/>
        </w:rPr>
      </w:pPr>
      <w:r w:rsidRPr="00650E25">
        <w:rPr>
          <w:rFonts w:cstheme="minorHAnsi"/>
          <w:color w:val="000000"/>
        </w:rPr>
        <w:t xml:space="preserve">1010.1.6.1 Frost Protection. Landings required by Section 1010.1.5 to be at the same elevation on each side of the door exterior landings at doors shall be provided with frost protection. </w:t>
      </w:r>
    </w:p>
    <w:p w14:paraId="2B178D83" w14:textId="77777777" w:rsidR="00650E25" w:rsidRDefault="00650E25" w:rsidP="00650E25">
      <w:pPr>
        <w:autoSpaceDE w:val="0"/>
        <w:autoSpaceDN w:val="0"/>
        <w:adjustRightInd w:val="0"/>
        <w:spacing w:after="0" w:line="240" w:lineRule="auto"/>
        <w:rPr>
          <w:rFonts w:cstheme="minorHAnsi"/>
          <w:color w:val="000000"/>
        </w:rPr>
      </w:pPr>
    </w:p>
    <w:p w14:paraId="4FE754F6" w14:textId="2FE50013"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Modify Code Section: IBC 1010.1.9.1</w:t>
      </w:r>
    </w:p>
    <w:p w14:paraId="7F40B895" w14:textId="77777777" w:rsidR="00650E25" w:rsidRPr="00650E25" w:rsidRDefault="00650E25" w:rsidP="00650E25">
      <w:pPr>
        <w:autoSpaceDE w:val="0"/>
        <w:autoSpaceDN w:val="0"/>
        <w:adjustRightInd w:val="0"/>
        <w:spacing w:after="0" w:line="240" w:lineRule="auto"/>
        <w:rPr>
          <w:rFonts w:cstheme="minorHAnsi"/>
          <w:color w:val="000000"/>
        </w:rPr>
      </w:pPr>
    </w:p>
    <w:p w14:paraId="78B3301D" w14:textId="70F62A9B"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Replace with the following language: </w:t>
      </w:r>
    </w:p>
    <w:p w14:paraId="2ECD6D87" w14:textId="77777777" w:rsidR="00650E25" w:rsidRPr="00650E25" w:rsidRDefault="00650E25" w:rsidP="00650E25">
      <w:pPr>
        <w:autoSpaceDE w:val="0"/>
        <w:autoSpaceDN w:val="0"/>
        <w:adjustRightInd w:val="0"/>
        <w:spacing w:after="0" w:line="240" w:lineRule="auto"/>
        <w:rPr>
          <w:rFonts w:cstheme="minorHAnsi"/>
          <w:color w:val="000000"/>
        </w:rPr>
      </w:pPr>
    </w:p>
    <w:p w14:paraId="0D49C512" w14:textId="20DFDD39" w:rsidR="00650E25" w:rsidRPr="00650E25" w:rsidRDefault="00650E25" w:rsidP="00650E25">
      <w:pPr>
        <w:autoSpaceDE w:val="0"/>
        <w:autoSpaceDN w:val="0"/>
        <w:adjustRightInd w:val="0"/>
        <w:spacing w:after="0" w:line="240" w:lineRule="auto"/>
        <w:ind w:left="720"/>
        <w:rPr>
          <w:rFonts w:cstheme="minorHAnsi"/>
          <w:color w:val="000000"/>
        </w:rPr>
      </w:pPr>
      <w:r w:rsidRPr="00650E25">
        <w:rPr>
          <w:rFonts w:cstheme="minorHAnsi"/>
          <w:color w:val="000000"/>
        </w:rPr>
        <w:t xml:space="preserve">1010.1.9.1 Hardware. Door handles, pulls, latches, </w:t>
      </w:r>
      <w:r w:rsidR="00A717DF" w:rsidRPr="00650E25">
        <w:rPr>
          <w:rFonts w:cstheme="minorHAnsi"/>
          <w:color w:val="000000"/>
        </w:rPr>
        <w:t>locks,</w:t>
      </w:r>
      <w:r w:rsidRPr="00650E25">
        <w:rPr>
          <w:rFonts w:cstheme="minorHAnsi"/>
          <w:color w:val="000000"/>
        </w:rPr>
        <w:t xml:space="preserve"> and other operating devices on doors required to be accessible by Chapter 11 of the International Building Code shall not require tight grasping, tight pinching or twisting of the wrist to operate. This includes thumb turn locks. </w:t>
      </w:r>
    </w:p>
    <w:p w14:paraId="17D52C78" w14:textId="77777777" w:rsidR="00650E25" w:rsidRDefault="00650E25" w:rsidP="00650E25">
      <w:pPr>
        <w:autoSpaceDE w:val="0"/>
        <w:autoSpaceDN w:val="0"/>
        <w:adjustRightInd w:val="0"/>
        <w:spacing w:after="0" w:line="240" w:lineRule="auto"/>
        <w:rPr>
          <w:rFonts w:cstheme="minorHAnsi"/>
          <w:color w:val="000000"/>
        </w:rPr>
      </w:pPr>
    </w:p>
    <w:p w14:paraId="6219F2D1" w14:textId="22E38757"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Insert Code Section: IBC 1013.1.1</w:t>
      </w:r>
    </w:p>
    <w:p w14:paraId="72B3B90C" w14:textId="77777777" w:rsidR="00650E25" w:rsidRDefault="00650E25" w:rsidP="00650E25">
      <w:pPr>
        <w:autoSpaceDE w:val="0"/>
        <w:autoSpaceDN w:val="0"/>
        <w:adjustRightInd w:val="0"/>
        <w:spacing w:after="0" w:line="240" w:lineRule="auto"/>
        <w:rPr>
          <w:rFonts w:cstheme="minorHAnsi"/>
          <w:color w:val="000000"/>
        </w:rPr>
      </w:pPr>
    </w:p>
    <w:p w14:paraId="18852D5F" w14:textId="6817C37E"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Language: </w:t>
      </w:r>
    </w:p>
    <w:p w14:paraId="674DC520" w14:textId="77777777" w:rsidR="00650E25" w:rsidRDefault="00650E25" w:rsidP="00650E25">
      <w:pPr>
        <w:autoSpaceDE w:val="0"/>
        <w:autoSpaceDN w:val="0"/>
        <w:adjustRightInd w:val="0"/>
        <w:spacing w:after="0" w:line="240" w:lineRule="auto"/>
        <w:rPr>
          <w:rFonts w:cstheme="minorHAnsi"/>
          <w:color w:val="000000"/>
        </w:rPr>
      </w:pPr>
    </w:p>
    <w:p w14:paraId="482A4923" w14:textId="73CF005C" w:rsidR="00650E25" w:rsidRPr="00650E25" w:rsidRDefault="00650E25" w:rsidP="00650E25">
      <w:pPr>
        <w:autoSpaceDE w:val="0"/>
        <w:autoSpaceDN w:val="0"/>
        <w:adjustRightInd w:val="0"/>
        <w:spacing w:after="0" w:line="240" w:lineRule="auto"/>
        <w:ind w:left="720"/>
        <w:rPr>
          <w:rFonts w:cstheme="minorHAnsi"/>
          <w:color w:val="000000"/>
        </w:rPr>
      </w:pPr>
      <w:r w:rsidRPr="00650E25">
        <w:rPr>
          <w:rFonts w:cstheme="minorHAnsi"/>
          <w:color w:val="000000"/>
        </w:rPr>
        <w:t xml:space="preserve">1013.1. 1 Additional Exit Signs. Exit signs may be required at the discretion of the Code Official to clarify an exit or exit access. </w:t>
      </w:r>
    </w:p>
    <w:p w14:paraId="5F76CBE6" w14:textId="77777777" w:rsidR="00650E25" w:rsidRDefault="00650E25" w:rsidP="00650E25">
      <w:pPr>
        <w:autoSpaceDE w:val="0"/>
        <w:autoSpaceDN w:val="0"/>
        <w:adjustRightInd w:val="0"/>
        <w:spacing w:after="0" w:line="240" w:lineRule="auto"/>
        <w:rPr>
          <w:rFonts w:cstheme="minorHAnsi"/>
          <w:color w:val="000000"/>
        </w:rPr>
      </w:pPr>
    </w:p>
    <w:p w14:paraId="1944A353" w14:textId="0E575C6A"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Modify Code Section: IBC 1014.4 </w:t>
      </w:r>
    </w:p>
    <w:p w14:paraId="79650540" w14:textId="77777777" w:rsidR="00650E25" w:rsidRPr="00650E25" w:rsidRDefault="00650E25" w:rsidP="00650E25">
      <w:pPr>
        <w:autoSpaceDE w:val="0"/>
        <w:autoSpaceDN w:val="0"/>
        <w:adjustRightInd w:val="0"/>
        <w:spacing w:after="0" w:line="240" w:lineRule="auto"/>
        <w:rPr>
          <w:rFonts w:cstheme="minorHAnsi"/>
          <w:color w:val="000000"/>
        </w:rPr>
      </w:pPr>
    </w:p>
    <w:p w14:paraId="793A784C" w14:textId="77777777"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Insert item # 6 with the following language: </w:t>
      </w:r>
    </w:p>
    <w:p w14:paraId="6A40D898" w14:textId="77777777" w:rsidR="00650E25" w:rsidRDefault="00650E25" w:rsidP="00650E25">
      <w:pPr>
        <w:autoSpaceDE w:val="0"/>
        <w:autoSpaceDN w:val="0"/>
        <w:adjustRightInd w:val="0"/>
        <w:spacing w:after="0" w:line="240" w:lineRule="auto"/>
        <w:rPr>
          <w:rFonts w:cstheme="minorHAnsi"/>
          <w:color w:val="000000"/>
        </w:rPr>
      </w:pPr>
    </w:p>
    <w:p w14:paraId="57EA5930" w14:textId="338757D2" w:rsidR="00650E25" w:rsidRPr="00650E25" w:rsidRDefault="00650E25" w:rsidP="00650E25">
      <w:pPr>
        <w:autoSpaceDE w:val="0"/>
        <w:autoSpaceDN w:val="0"/>
        <w:adjustRightInd w:val="0"/>
        <w:spacing w:after="0" w:line="240" w:lineRule="auto"/>
        <w:ind w:left="720"/>
        <w:rPr>
          <w:rFonts w:cstheme="minorHAnsi"/>
          <w:color w:val="000000"/>
        </w:rPr>
      </w:pPr>
      <w:r w:rsidRPr="00650E25">
        <w:rPr>
          <w:rFonts w:cstheme="minorHAnsi"/>
          <w:color w:val="000000"/>
        </w:rPr>
        <w:t>6. Handrails within a dwelling unit or serving an individual dwelling unit of groups R-2 and R-3 shall be permitted to be interrupted at one location in a straight stair when the rail terminates into a wall or ledge and is offset and immediately continues.</w:t>
      </w:r>
    </w:p>
    <w:p w14:paraId="2B016637" w14:textId="1938CDB0" w:rsidR="005B24EA" w:rsidRDefault="005B24EA" w:rsidP="00A57AC5"/>
    <w:p w14:paraId="3686239E" w14:textId="090AB5E6"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Add Code Section: IBC 1015.9</w:t>
      </w:r>
    </w:p>
    <w:p w14:paraId="7AF0ED4D" w14:textId="77777777" w:rsidR="00650E25" w:rsidRPr="00650E25" w:rsidRDefault="00650E25" w:rsidP="00650E25">
      <w:pPr>
        <w:autoSpaceDE w:val="0"/>
        <w:autoSpaceDN w:val="0"/>
        <w:adjustRightInd w:val="0"/>
        <w:spacing w:after="0" w:line="240" w:lineRule="auto"/>
        <w:rPr>
          <w:rFonts w:cstheme="minorHAnsi"/>
          <w:color w:val="000000"/>
        </w:rPr>
      </w:pPr>
    </w:p>
    <w:p w14:paraId="5311268F" w14:textId="77777777"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Insert the following language: </w:t>
      </w:r>
    </w:p>
    <w:p w14:paraId="4FE4CF5F" w14:textId="77777777" w:rsidR="00650E25" w:rsidRDefault="00650E25" w:rsidP="00650E25">
      <w:pPr>
        <w:autoSpaceDE w:val="0"/>
        <w:autoSpaceDN w:val="0"/>
        <w:adjustRightInd w:val="0"/>
        <w:spacing w:after="0" w:line="240" w:lineRule="auto"/>
        <w:rPr>
          <w:rFonts w:cstheme="minorHAnsi"/>
          <w:color w:val="000000"/>
        </w:rPr>
      </w:pPr>
    </w:p>
    <w:p w14:paraId="540124B3" w14:textId="07CC9E62" w:rsidR="00650E25" w:rsidRPr="00650E25" w:rsidRDefault="00650E25" w:rsidP="00650E25">
      <w:pPr>
        <w:autoSpaceDE w:val="0"/>
        <w:autoSpaceDN w:val="0"/>
        <w:adjustRightInd w:val="0"/>
        <w:spacing w:after="0" w:line="240" w:lineRule="auto"/>
        <w:ind w:left="720"/>
        <w:rPr>
          <w:rFonts w:cstheme="minorHAnsi"/>
          <w:color w:val="000000"/>
        </w:rPr>
      </w:pPr>
      <w:r w:rsidRPr="00650E25">
        <w:rPr>
          <w:rFonts w:cstheme="minorHAnsi"/>
          <w:color w:val="000000"/>
        </w:rPr>
        <w:t xml:space="preserve">1015.9 Walking surfaces. A guard shall be provided along retaining walls where a finished walking surface such as sidewalks, patios, driveways, parking lots or similar is located on the top side of a retaining wall. The guard shall be installed along any portion of the wall measuring 30 inches or greater in height measured at any point within 36 inches horizontally to the edge of the open side. A guard shall not be required along portions of the retaining wall where the horizontal distance between the edge of the finished walking surface and the face of the wall is greater than 72 inches. </w:t>
      </w:r>
    </w:p>
    <w:p w14:paraId="11F0F065" w14:textId="77777777" w:rsidR="00650E25" w:rsidRDefault="00650E25" w:rsidP="00650E25">
      <w:pPr>
        <w:autoSpaceDE w:val="0"/>
        <w:autoSpaceDN w:val="0"/>
        <w:adjustRightInd w:val="0"/>
        <w:spacing w:after="0" w:line="240" w:lineRule="auto"/>
        <w:rPr>
          <w:rFonts w:cstheme="minorHAnsi"/>
          <w:color w:val="000000"/>
        </w:rPr>
      </w:pPr>
    </w:p>
    <w:p w14:paraId="704B7063" w14:textId="77777777" w:rsidR="0031736F" w:rsidRDefault="0031736F" w:rsidP="00650E25">
      <w:pPr>
        <w:autoSpaceDE w:val="0"/>
        <w:autoSpaceDN w:val="0"/>
        <w:adjustRightInd w:val="0"/>
        <w:spacing w:after="0" w:line="240" w:lineRule="auto"/>
        <w:rPr>
          <w:rFonts w:cstheme="minorHAnsi"/>
          <w:color w:val="000000"/>
        </w:rPr>
      </w:pPr>
    </w:p>
    <w:p w14:paraId="00DF4864" w14:textId="77777777" w:rsidR="0031736F" w:rsidRDefault="0031736F" w:rsidP="00650E25">
      <w:pPr>
        <w:autoSpaceDE w:val="0"/>
        <w:autoSpaceDN w:val="0"/>
        <w:adjustRightInd w:val="0"/>
        <w:spacing w:after="0" w:line="240" w:lineRule="auto"/>
        <w:rPr>
          <w:rFonts w:cstheme="minorHAnsi"/>
          <w:color w:val="000000"/>
        </w:rPr>
      </w:pPr>
    </w:p>
    <w:p w14:paraId="5158183D" w14:textId="77777777" w:rsidR="0031736F" w:rsidRDefault="0031736F" w:rsidP="00650E25">
      <w:pPr>
        <w:autoSpaceDE w:val="0"/>
        <w:autoSpaceDN w:val="0"/>
        <w:adjustRightInd w:val="0"/>
        <w:spacing w:after="0" w:line="240" w:lineRule="auto"/>
        <w:rPr>
          <w:rFonts w:cstheme="minorHAnsi"/>
          <w:color w:val="000000"/>
        </w:rPr>
      </w:pPr>
    </w:p>
    <w:p w14:paraId="07404CF3" w14:textId="77777777" w:rsidR="0031736F" w:rsidRDefault="0031736F" w:rsidP="00650E25">
      <w:pPr>
        <w:autoSpaceDE w:val="0"/>
        <w:autoSpaceDN w:val="0"/>
        <w:adjustRightInd w:val="0"/>
        <w:spacing w:after="0" w:line="240" w:lineRule="auto"/>
        <w:rPr>
          <w:rFonts w:cstheme="minorHAnsi"/>
          <w:color w:val="000000"/>
        </w:rPr>
      </w:pPr>
    </w:p>
    <w:p w14:paraId="260ED9F5" w14:textId="77777777" w:rsidR="0031736F" w:rsidRDefault="0031736F" w:rsidP="00650E25">
      <w:pPr>
        <w:autoSpaceDE w:val="0"/>
        <w:autoSpaceDN w:val="0"/>
        <w:adjustRightInd w:val="0"/>
        <w:spacing w:after="0" w:line="240" w:lineRule="auto"/>
        <w:rPr>
          <w:rFonts w:cstheme="minorHAnsi"/>
          <w:color w:val="000000"/>
        </w:rPr>
      </w:pPr>
    </w:p>
    <w:p w14:paraId="034053AB" w14:textId="48D4C824"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lastRenderedPageBreak/>
        <w:t>Insert Code Section: IBC 1028.5.1</w:t>
      </w:r>
    </w:p>
    <w:p w14:paraId="4AE9BE52" w14:textId="78F251FD"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 </w:t>
      </w:r>
    </w:p>
    <w:p w14:paraId="04371AB9" w14:textId="55D68B3B"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Language: </w:t>
      </w:r>
    </w:p>
    <w:p w14:paraId="22A8348C" w14:textId="77777777" w:rsidR="00650E25" w:rsidRPr="00650E25" w:rsidRDefault="00650E25" w:rsidP="00650E25">
      <w:pPr>
        <w:autoSpaceDE w:val="0"/>
        <w:autoSpaceDN w:val="0"/>
        <w:adjustRightInd w:val="0"/>
        <w:spacing w:after="0" w:line="240" w:lineRule="auto"/>
        <w:rPr>
          <w:rFonts w:cstheme="minorHAnsi"/>
          <w:color w:val="000000"/>
        </w:rPr>
      </w:pPr>
    </w:p>
    <w:p w14:paraId="5108D0E5" w14:textId="77777777" w:rsidR="00650E25" w:rsidRPr="00650E25" w:rsidRDefault="00650E25" w:rsidP="00650E25">
      <w:pPr>
        <w:autoSpaceDE w:val="0"/>
        <w:autoSpaceDN w:val="0"/>
        <w:adjustRightInd w:val="0"/>
        <w:spacing w:after="0" w:line="240" w:lineRule="auto"/>
        <w:ind w:left="720"/>
        <w:rPr>
          <w:rFonts w:cstheme="minorHAnsi"/>
          <w:color w:val="000000"/>
        </w:rPr>
      </w:pPr>
      <w:r w:rsidRPr="00650E25">
        <w:rPr>
          <w:rFonts w:cstheme="minorHAnsi"/>
          <w:color w:val="000000"/>
        </w:rPr>
        <w:t xml:space="preserve">1028.5.1 Hard Surfaces. Components of exterior walking surfaces shall be concrete, asphalt, or </w:t>
      </w:r>
      <w:proofErr w:type="gramStart"/>
      <w:r w:rsidRPr="00650E25">
        <w:rPr>
          <w:rFonts w:cstheme="minorHAnsi"/>
          <w:color w:val="000000"/>
        </w:rPr>
        <w:t>other</w:t>
      </w:r>
      <w:proofErr w:type="gramEnd"/>
      <w:r w:rsidRPr="00650E25">
        <w:rPr>
          <w:rFonts w:cstheme="minorHAnsi"/>
          <w:color w:val="000000"/>
        </w:rPr>
        <w:t xml:space="preserve"> approved hard surface. </w:t>
      </w:r>
    </w:p>
    <w:p w14:paraId="2AE02DE7" w14:textId="77777777" w:rsidR="00650E25" w:rsidRDefault="00650E25" w:rsidP="00650E25">
      <w:pPr>
        <w:autoSpaceDE w:val="0"/>
        <w:autoSpaceDN w:val="0"/>
        <w:adjustRightInd w:val="0"/>
        <w:spacing w:after="0" w:line="240" w:lineRule="auto"/>
        <w:rPr>
          <w:rFonts w:cstheme="minorHAnsi"/>
          <w:color w:val="000000"/>
        </w:rPr>
      </w:pPr>
    </w:p>
    <w:p w14:paraId="5A42C90A" w14:textId="24413DAB"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Insert Code Section: IBC 1030.4.3</w:t>
      </w:r>
    </w:p>
    <w:p w14:paraId="75E7A1FC" w14:textId="77777777" w:rsidR="00650E25" w:rsidRPr="00650E25" w:rsidRDefault="00650E25" w:rsidP="00650E25">
      <w:pPr>
        <w:autoSpaceDE w:val="0"/>
        <w:autoSpaceDN w:val="0"/>
        <w:adjustRightInd w:val="0"/>
        <w:spacing w:after="0" w:line="240" w:lineRule="auto"/>
        <w:rPr>
          <w:rFonts w:cstheme="minorHAnsi"/>
          <w:color w:val="000000"/>
        </w:rPr>
      </w:pPr>
    </w:p>
    <w:p w14:paraId="4F277B65" w14:textId="523E2AB8" w:rsid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Language: </w:t>
      </w:r>
    </w:p>
    <w:p w14:paraId="35F9BD85" w14:textId="77777777" w:rsidR="00650E25" w:rsidRPr="00650E25" w:rsidRDefault="00650E25" w:rsidP="00650E25">
      <w:pPr>
        <w:autoSpaceDE w:val="0"/>
        <w:autoSpaceDN w:val="0"/>
        <w:adjustRightInd w:val="0"/>
        <w:spacing w:after="0" w:line="240" w:lineRule="auto"/>
        <w:rPr>
          <w:rFonts w:cstheme="minorHAnsi"/>
          <w:color w:val="000000"/>
        </w:rPr>
      </w:pPr>
    </w:p>
    <w:p w14:paraId="38B5A7B6" w14:textId="77777777" w:rsidR="00650E25" w:rsidRPr="00650E25" w:rsidRDefault="00650E25" w:rsidP="00650E25">
      <w:pPr>
        <w:autoSpaceDE w:val="0"/>
        <w:autoSpaceDN w:val="0"/>
        <w:adjustRightInd w:val="0"/>
        <w:spacing w:after="0" w:line="240" w:lineRule="auto"/>
        <w:ind w:firstLine="720"/>
        <w:rPr>
          <w:rFonts w:cstheme="minorHAnsi"/>
          <w:color w:val="000000"/>
        </w:rPr>
      </w:pPr>
      <w:r w:rsidRPr="00650E25">
        <w:rPr>
          <w:rFonts w:cstheme="minorHAnsi"/>
          <w:color w:val="000000"/>
        </w:rPr>
        <w:t xml:space="preserve">1030.4.3 Window wells drainage. All window wells shall be provided with approved drainage. </w:t>
      </w:r>
    </w:p>
    <w:p w14:paraId="16DCCDA1" w14:textId="77777777" w:rsidR="00650E25" w:rsidRDefault="00650E25" w:rsidP="00650E25">
      <w:pPr>
        <w:autoSpaceDE w:val="0"/>
        <w:autoSpaceDN w:val="0"/>
        <w:adjustRightInd w:val="0"/>
        <w:spacing w:after="0" w:line="240" w:lineRule="auto"/>
        <w:rPr>
          <w:rFonts w:cstheme="minorHAnsi"/>
          <w:color w:val="000000"/>
        </w:rPr>
      </w:pPr>
    </w:p>
    <w:p w14:paraId="2BEFB8AD" w14:textId="48E867A4"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Modify Code Section: IBC 1301.1 </w:t>
      </w:r>
    </w:p>
    <w:p w14:paraId="5C3AE7A1" w14:textId="77777777" w:rsidR="00650E25" w:rsidRDefault="00650E25" w:rsidP="00650E25">
      <w:pPr>
        <w:autoSpaceDE w:val="0"/>
        <w:autoSpaceDN w:val="0"/>
        <w:adjustRightInd w:val="0"/>
        <w:spacing w:after="0" w:line="240" w:lineRule="auto"/>
        <w:rPr>
          <w:rFonts w:cstheme="minorHAnsi"/>
          <w:color w:val="000000"/>
        </w:rPr>
      </w:pPr>
    </w:p>
    <w:p w14:paraId="268C8A3C" w14:textId="2FC9652B"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Replace with the following language: </w:t>
      </w:r>
    </w:p>
    <w:p w14:paraId="361AE5EB" w14:textId="77777777" w:rsidR="00650E25" w:rsidRDefault="00650E25" w:rsidP="00650E25">
      <w:pPr>
        <w:rPr>
          <w:rFonts w:cstheme="minorHAnsi"/>
          <w:color w:val="000000"/>
        </w:rPr>
      </w:pPr>
    </w:p>
    <w:p w14:paraId="3337AA89" w14:textId="6645A14E" w:rsidR="00650E25" w:rsidRDefault="00650E25" w:rsidP="00650E25">
      <w:pPr>
        <w:ind w:left="720"/>
        <w:rPr>
          <w:rFonts w:cstheme="minorHAnsi"/>
          <w:color w:val="000000"/>
        </w:rPr>
      </w:pPr>
      <w:r w:rsidRPr="00650E25">
        <w:rPr>
          <w:rFonts w:cstheme="minorHAnsi"/>
          <w:color w:val="000000"/>
        </w:rPr>
        <w:t>Section 1301.1 Scope. The provisions of the International Energy Code as currently adopted and amended by the Iowa State Building Code Bureau shall apply to all matters governing the design and construction of buildings for energy efficiency. Administration shall be as prescribed in chapter 1 of the currently State adoption of the IECC</w:t>
      </w:r>
      <w:r>
        <w:rPr>
          <w:rFonts w:cstheme="minorHAnsi"/>
          <w:color w:val="000000"/>
        </w:rPr>
        <w:t>.</w:t>
      </w:r>
    </w:p>
    <w:p w14:paraId="294F5F8E" w14:textId="77777777" w:rsidR="000F091B" w:rsidRDefault="000F091B" w:rsidP="00650E25">
      <w:pPr>
        <w:autoSpaceDE w:val="0"/>
        <w:autoSpaceDN w:val="0"/>
        <w:adjustRightInd w:val="0"/>
        <w:spacing w:after="0" w:line="240" w:lineRule="auto"/>
        <w:rPr>
          <w:rFonts w:cstheme="minorHAnsi"/>
          <w:color w:val="000000"/>
        </w:rPr>
      </w:pPr>
    </w:p>
    <w:p w14:paraId="608F437B" w14:textId="5B37D370"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Modify Code Section: IBC 1608.2 </w:t>
      </w:r>
    </w:p>
    <w:p w14:paraId="66FAFBF0" w14:textId="77777777" w:rsidR="00650E25" w:rsidRDefault="00650E25" w:rsidP="00650E25">
      <w:pPr>
        <w:autoSpaceDE w:val="0"/>
        <w:autoSpaceDN w:val="0"/>
        <w:adjustRightInd w:val="0"/>
        <w:spacing w:after="0" w:line="240" w:lineRule="auto"/>
        <w:rPr>
          <w:rFonts w:cstheme="minorHAnsi"/>
          <w:color w:val="000000"/>
        </w:rPr>
      </w:pPr>
    </w:p>
    <w:p w14:paraId="731CA42A" w14:textId="3B9BE708" w:rsidR="00650E25" w:rsidRPr="00650E25" w:rsidRDefault="00650E25" w:rsidP="00650E25">
      <w:pPr>
        <w:autoSpaceDE w:val="0"/>
        <w:autoSpaceDN w:val="0"/>
        <w:adjustRightInd w:val="0"/>
        <w:spacing w:after="0" w:line="240" w:lineRule="auto"/>
        <w:rPr>
          <w:rFonts w:cstheme="minorHAnsi"/>
          <w:color w:val="000000"/>
        </w:rPr>
      </w:pPr>
      <w:r w:rsidRPr="00650E25">
        <w:rPr>
          <w:rFonts w:cstheme="minorHAnsi"/>
          <w:color w:val="000000"/>
        </w:rPr>
        <w:t xml:space="preserve">Replace with the following language: </w:t>
      </w:r>
    </w:p>
    <w:p w14:paraId="2BB13EB8" w14:textId="77777777" w:rsidR="00650E25" w:rsidRDefault="00650E25" w:rsidP="00650E25">
      <w:pPr>
        <w:rPr>
          <w:rFonts w:cstheme="minorHAnsi"/>
          <w:color w:val="000000"/>
        </w:rPr>
      </w:pPr>
    </w:p>
    <w:p w14:paraId="184A2107" w14:textId="45A024D1" w:rsidR="00650E25" w:rsidRPr="00650E25" w:rsidRDefault="00650E25" w:rsidP="00650E25">
      <w:pPr>
        <w:ind w:left="720"/>
        <w:rPr>
          <w:rFonts w:cstheme="minorHAnsi"/>
        </w:rPr>
      </w:pPr>
      <w:r w:rsidRPr="00650E25">
        <w:rPr>
          <w:rFonts w:cstheme="minorHAnsi"/>
          <w:color w:val="000000"/>
        </w:rPr>
        <w:t>1608.2 Ground Snow Load. The ground snow load to be used in determining the design snow load for roofs is hereby established at 30 pounds per square foot. Subsequent increases or decreases shall be allowed as otherwise provided by code, except that the minimum allowable flat roof snow load may be reduced to not less than 80 percent of the ground snow load.</w:t>
      </w:r>
    </w:p>
    <w:p w14:paraId="170072D8" w14:textId="77777777" w:rsidR="000F091B" w:rsidRDefault="000F091B" w:rsidP="00A57AC5"/>
    <w:p w14:paraId="12C2CB4E" w14:textId="77777777" w:rsidR="0031736F" w:rsidRDefault="0031736F" w:rsidP="00A57AC5">
      <w:pPr>
        <w:rPr>
          <w:b/>
          <w:bCs/>
          <w:sz w:val="28"/>
          <w:szCs w:val="28"/>
        </w:rPr>
      </w:pPr>
    </w:p>
    <w:p w14:paraId="1195D6B8" w14:textId="77777777" w:rsidR="0031736F" w:rsidRDefault="0031736F" w:rsidP="00A57AC5">
      <w:pPr>
        <w:rPr>
          <w:b/>
          <w:bCs/>
          <w:sz w:val="28"/>
          <w:szCs w:val="28"/>
        </w:rPr>
      </w:pPr>
    </w:p>
    <w:p w14:paraId="0DF7AA7A" w14:textId="77777777" w:rsidR="0031736F" w:rsidRDefault="0031736F" w:rsidP="00A57AC5">
      <w:pPr>
        <w:rPr>
          <w:b/>
          <w:bCs/>
          <w:sz w:val="28"/>
          <w:szCs w:val="28"/>
        </w:rPr>
      </w:pPr>
    </w:p>
    <w:p w14:paraId="362BFB32" w14:textId="77777777" w:rsidR="0031736F" w:rsidRDefault="0031736F" w:rsidP="00A57AC5">
      <w:pPr>
        <w:rPr>
          <w:b/>
          <w:bCs/>
          <w:sz w:val="28"/>
          <w:szCs w:val="28"/>
        </w:rPr>
      </w:pPr>
    </w:p>
    <w:p w14:paraId="38CBABE7" w14:textId="77777777" w:rsidR="0031736F" w:rsidRDefault="0031736F" w:rsidP="00A57AC5">
      <w:pPr>
        <w:rPr>
          <w:b/>
          <w:bCs/>
          <w:sz w:val="28"/>
          <w:szCs w:val="28"/>
        </w:rPr>
      </w:pPr>
    </w:p>
    <w:p w14:paraId="10D8A68C" w14:textId="77777777" w:rsidR="0031736F" w:rsidRDefault="0031736F" w:rsidP="00A57AC5">
      <w:pPr>
        <w:rPr>
          <w:b/>
          <w:bCs/>
          <w:sz w:val="28"/>
          <w:szCs w:val="28"/>
        </w:rPr>
      </w:pPr>
    </w:p>
    <w:p w14:paraId="59DE0470" w14:textId="627A14E9" w:rsidR="00A57AC5" w:rsidRDefault="003C1B3E" w:rsidP="00A57AC5">
      <w:r w:rsidRPr="000F091B">
        <w:rPr>
          <w:b/>
          <w:bCs/>
          <w:sz w:val="28"/>
          <w:szCs w:val="28"/>
        </w:rPr>
        <w:lastRenderedPageBreak/>
        <w:t>Section 3.</w:t>
      </w:r>
      <w:r>
        <w:t xml:space="preserve"> </w:t>
      </w:r>
      <w:r w:rsidR="00A57AC5">
        <w:t xml:space="preserve">That a certain document, being marked and designated </w:t>
      </w:r>
      <w:r w:rsidR="00A57AC5" w:rsidRPr="000F091B">
        <w:t>as the</w:t>
      </w:r>
      <w:r w:rsidR="00A57AC5" w:rsidRPr="000F091B">
        <w:rPr>
          <w:b/>
          <w:bCs/>
        </w:rPr>
        <w:t xml:space="preserve"> </w:t>
      </w:r>
      <w:r w:rsidR="00A57AC5" w:rsidRPr="000F091B">
        <w:rPr>
          <w:b/>
          <w:bCs/>
          <w:sz w:val="24"/>
          <w:szCs w:val="24"/>
        </w:rPr>
        <w:t>International Residential Code, 2018 edition</w:t>
      </w:r>
      <w:r w:rsidR="00A57AC5">
        <w:t xml:space="preserve">, including Appendix Chapters, as published by the International Code Council, be and is hereby </w:t>
      </w:r>
      <w:r w:rsidR="005B24EA">
        <w:t>adopted</w:t>
      </w:r>
      <w:r w:rsidR="00A57AC5">
        <w:t xml:space="preserve"> as the Residential Code, for regulating and governing the construction, alteration, movement, enlargement, replacement, repair, equipment, location, removal and demolition of detached one- and two-family dwellings and multiple single-family dwellings (townhouses) not more than three stories in height with separate means of egress as herein provided; and each and all of the regulations, provisions, penalties, conditions and terms of said Residential Code are hereby referred to, adopted, and made a part hereof, with the additions, insertions, deletions and changes, if any, prescribed in Section </w:t>
      </w:r>
      <w:r>
        <w:t>4</w:t>
      </w:r>
      <w:r w:rsidR="00A57AC5">
        <w:t xml:space="preserve"> of this recommendation.  </w:t>
      </w:r>
    </w:p>
    <w:p w14:paraId="141C6B4E" w14:textId="2DD3DC36" w:rsidR="00A57AC5" w:rsidRDefault="00A57AC5" w:rsidP="00A57AC5">
      <w:r w:rsidRPr="000F091B">
        <w:rPr>
          <w:b/>
          <w:bCs/>
          <w:sz w:val="28"/>
          <w:szCs w:val="28"/>
        </w:rPr>
        <w:t xml:space="preserve">Section </w:t>
      </w:r>
      <w:r w:rsidR="003C1B3E" w:rsidRPr="000F091B">
        <w:rPr>
          <w:b/>
          <w:bCs/>
          <w:sz w:val="28"/>
          <w:szCs w:val="28"/>
        </w:rPr>
        <w:t>4</w:t>
      </w:r>
      <w:r w:rsidRPr="000F091B">
        <w:rPr>
          <w:b/>
          <w:bCs/>
          <w:sz w:val="28"/>
          <w:szCs w:val="28"/>
        </w:rPr>
        <w:t>.</w:t>
      </w:r>
      <w:r>
        <w:t xml:space="preserve"> The following sections are hereby revised:  </w:t>
      </w:r>
    </w:p>
    <w:p w14:paraId="334DCDC4" w14:textId="024C8E3B" w:rsidR="00A57AC5" w:rsidRDefault="00A57AC5" w:rsidP="00A57AC5">
      <w:r>
        <w:t>Table R301.2 (1) Insert:</w:t>
      </w:r>
    </w:p>
    <w:tbl>
      <w:tblPr>
        <w:tblStyle w:val="TableGrid"/>
        <w:tblW w:w="11160" w:type="dxa"/>
        <w:tblInd w:w="-815" w:type="dxa"/>
        <w:tblLook w:val="04A0" w:firstRow="1" w:lastRow="0" w:firstColumn="1" w:lastColumn="0" w:noHBand="0" w:noVBand="1"/>
      </w:tblPr>
      <w:tblGrid>
        <w:gridCol w:w="710"/>
        <w:gridCol w:w="617"/>
        <w:gridCol w:w="1028"/>
        <w:gridCol w:w="671"/>
        <w:gridCol w:w="634"/>
        <w:gridCol w:w="800"/>
        <w:gridCol w:w="984"/>
        <w:gridCol w:w="616"/>
        <w:gridCol w:w="1102"/>
        <w:gridCol w:w="669"/>
        <w:gridCol w:w="1154"/>
        <w:gridCol w:w="735"/>
        <w:gridCol w:w="765"/>
        <w:gridCol w:w="675"/>
      </w:tblGrid>
      <w:tr w:rsidR="00D7360B" w14:paraId="2EE530B7" w14:textId="77777777" w:rsidTr="00D7360B">
        <w:trPr>
          <w:trHeight w:val="270"/>
        </w:trPr>
        <w:tc>
          <w:tcPr>
            <w:tcW w:w="710" w:type="dxa"/>
            <w:vMerge w:val="restart"/>
          </w:tcPr>
          <w:p w14:paraId="272135E1" w14:textId="5F3D3AA7" w:rsidR="00637E13" w:rsidRPr="00D7360B" w:rsidRDefault="00637E13" w:rsidP="00637E13">
            <w:pPr>
              <w:jc w:val="center"/>
              <w:rPr>
                <w:sz w:val="16"/>
                <w:szCs w:val="16"/>
              </w:rPr>
            </w:pPr>
            <w:r w:rsidRPr="00D7360B">
              <w:rPr>
                <w:sz w:val="16"/>
                <w:szCs w:val="16"/>
              </w:rPr>
              <w:t>Ground Snow Load</w:t>
            </w:r>
          </w:p>
        </w:tc>
        <w:tc>
          <w:tcPr>
            <w:tcW w:w="2950" w:type="dxa"/>
            <w:gridSpan w:val="4"/>
          </w:tcPr>
          <w:p w14:paraId="401CB249" w14:textId="0A5DE67A" w:rsidR="00637E13" w:rsidRPr="00D7360B" w:rsidRDefault="00637E13" w:rsidP="00637E13">
            <w:pPr>
              <w:jc w:val="center"/>
              <w:rPr>
                <w:sz w:val="16"/>
                <w:szCs w:val="16"/>
              </w:rPr>
            </w:pPr>
            <w:r w:rsidRPr="00D7360B">
              <w:rPr>
                <w:sz w:val="16"/>
                <w:szCs w:val="16"/>
              </w:rPr>
              <w:t>Wind Design</w:t>
            </w:r>
          </w:p>
        </w:tc>
        <w:tc>
          <w:tcPr>
            <w:tcW w:w="800" w:type="dxa"/>
            <w:vMerge w:val="restart"/>
          </w:tcPr>
          <w:p w14:paraId="27F0612E" w14:textId="72B3E280" w:rsidR="00637E13" w:rsidRPr="00D7360B" w:rsidRDefault="00D7360B" w:rsidP="00D7360B">
            <w:pPr>
              <w:jc w:val="center"/>
              <w:rPr>
                <w:sz w:val="16"/>
                <w:szCs w:val="16"/>
              </w:rPr>
            </w:pPr>
            <w:r>
              <w:rPr>
                <w:sz w:val="16"/>
                <w:szCs w:val="16"/>
              </w:rPr>
              <w:t>Seismic Design Category</w:t>
            </w:r>
          </w:p>
        </w:tc>
        <w:tc>
          <w:tcPr>
            <w:tcW w:w="2702" w:type="dxa"/>
            <w:gridSpan w:val="3"/>
          </w:tcPr>
          <w:p w14:paraId="4BCCE033" w14:textId="65D4688D" w:rsidR="00637E13" w:rsidRPr="00D7360B" w:rsidRDefault="00D7360B" w:rsidP="00D7360B">
            <w:pPr>
              <w:jc w:val="center"/>
              <w:rPr>
                <w:sz w:val="16"/>
                <w:szCs w:val="16"/>
              </w:rPr>
            </w:pPr>
            <w:r>
              <w:rPr>
                <w:sz w:val="16"/>
                <w:szCs w:val="16"/>
              </w:rPr>
              <w:t>Subject to Damage From</w:t>
            </w:r>
          </w:p>
        </w:tc>
        <w:tc>
          <w:tcPr>
            <w:tcW w:w="669" w:type="dxa"/>
            <w:vMerge w:val="restart"/>
          </w:tcPr>
          <w:p w14:paraId="0DC1F11A" w14:textId="68113901" w:rsidR="00637E13" w:rsidRPr="00D7360B" w:rsidRDefault="00D7360B" w:rsidP="00A57AC5">
            <w:pPr>
              <w:rPr>
                <w:sz w:val="16"/>
                <w:szCs w:val="16"/>
              </w:rPr>
            </w:pPr>
            <w:r w:rsidRPr="00D7360B">
              <w:rPr>
                <w:sz w:val="16"/>
                <w:szCs w:val="16"/>
              </w:rPr>
              <w:t>Winter Design Temp</w:t>
            </w:r>
          </w:p>
        </w:tc>
        <w:tc>
          <w:tcPr>
            <w:tcW w:w="1154" w:type="dxa"/>
            <w:vMerge w:val="restart"/>
          </w:tcPr>
          <w:p w14:paraId="644B2D7D" w14:textId="248A9233" w:rsidR="00637E13" w:rsidRPr="00D7360B" w:rsidRDefault="00D7360B" w:rsidP="00D7360B">
            <w:pPr>
              <w:jc w:val="center"/>
              <w:rPr>
                <w:sz w:val="16"/>
                <w:szCs w:val="16"/>
              </w:rPr>
            </w:pPr>
            <w:r w:rsidRPr="00D7360B">
              <w:rPr>
                <w:sz w:val="16"/>
                <w:szCs w:val="16"/>
              </w:rPr>
              <w:t>Ice Barrier Underlayment required</w:t>
            </w:r>
          </w:p>
        </w:tc>
        <w:tc>
          <w:tcPr>
            <w:tcW w:w="735" w:type="dxa"/>
            <w:vMerge w:val="restart"/>
          </w:tcPr>
          <w:p w14:paraId="331CF358" w14:textId="2104ED2D" w:rsidR="00637E13" w:rsidRPr="00D7360B" w:rsidRDefault="00D7360B" w:rsidP="00D7360B">
            <w:pPr>
              <w:jc w:val="center"/>
              <w:rPr>
                <w:sz w:val="16"/>
                <w:szCs w:val="16"/>
              </w:rPr>
            </w:pPr>
            <w:r w:rsidRPr="00D7360B">
              <w:rPr>
                <w:sz w:val="16"/>
                <w:szCs w:val="16"/>
              </w:rPr>
              <w:t>Flood Hazards</w:t>
            </w:r>
          </w:p>
        </w:tc>
        <w:tc>
          <w:tcPr>
            <w:tcW w:w="765" w:type="dxa"/>
            <w:vMerge w:val="restart"/>
          </w:tcPr>
          <w:p w14:paraId="78B05620" w14:textId="67E9AEFF" w:rsidR="00637E13" w:rsidRPr="00D7360B" w:rsidRDefault="00D7360B" w:rsidP="00D7360B">
            <w:pPr>
              <w:jc w:val="center"/>
              <w:rPr>
                <w:sz w:val="16"/>
                <w:szCs w:val="16"/>
              </w:rPr>
            </w:pPr>
            <w:r w:rsidRPr="00D7360B">
              <w:rPr>
                <w:sz w:val="16"/>
                <w:szCs w:val="16"/>
              </w:rPr>
              <w:t>Air Freezing Index</w:t>
            </w:r>
          </w:p>
        </w:tc>
        <w:tc>
          <w:tcPr>
            <w:tcW w:w="675" w:type="dxa"/>
            <w:vMerge w:val="restart"/>
          </w:tcPr>
          <w:p w14:paraId="1FE4FDB1" w14:textId="6D44C0F0" w:rsidR="00637E13" w:rsidRPr="00D7360B" w:rsidRDefault="00D7360B" w:rsidP="00D7360B">
            <w:pPr>
              <w:jc w:val="center"/>
              <w:rPr>
                <w:sz w:val="16"/>
                <w:szCs w:val="16"/>
              </w:rPr>
            </w:pPr>
            <w:r w:rsidRPr="00D7360B">
              <w:rPr>
                <w:sz w:val="16"/>
                <w:szCs w:val="16"/>
              </w:rPr>
              <w:t>Mean Annual Temp</w:t>
            </w:r>
          </w:p>
        </w:tc>
      </w:tr>
      <w:tr w:rsidR="00D7360B" w14:paraId="0B2422EC" w14:textId="77777777" w:rsidTr="00D7360B">
        <w:trPr>
          <w:trHeight w:val="270"/>
        </w:trPr>
        <w:tc>
          <w:tcPr>
            <w:tcW w:w="710" w:type="dxa"/>
            <w:vMerge/>
          </w:tcPr>
          <w:p w14:paraId="377E7CAB" w14:textId="77777777" w:rsidR="00637E13" w:rsidRPr="00D7360B" w:rsidRDefault="00637E13" w:rsidP="00637E13">
            <w:pPr>
              <w:jc w:val="center"/>
              <w:rPr>
                <w:sz w:val="16"/>
                <w:szCs w:val="16"/>
              </w:rPr>
            </w:pPr>
          </w:p>
        </w:tc>
        <w:tc>
          <w:tcPr>
            <w:tcW w:w="617" w:type="dxa"/>
          </w:tcPr>
          <w:p w14:paraId="373813FD" w14:textId="77777777" w:rsidR="00637E13" w:rsidRPr="00D7360B" w:rsidRDefault="00637E13" w:rsidP="00A57AC5">
            <w:pPr>
              <w:rPr>
                <w:sz w:val="16"/>
                <w:szCs w:val="16"/>
              </w:rPr>
            </w:pPr>
            <w:r w:rsidRPr="00D7360B">
              <w:rPr>
                <w:sz w:val="16"/>
                <w:szCs w:val="16"/>
              </w:rPr>
              <w:t>Speed</w:t>
            </w:r>
          </w:p>
          <w:p w14:paraId="331925F2" w14:textId="5286BC4E" w:rsidR="00637E13" w:rsidRPr="00D7360B" w:rsidRDefault="00637E13" w:rsidP="00A57AC5">
            <w:pPr>
              <w:rPr>
                <w:sz w:val="16"/>
                <w:szCs w:val="16"/>
              </w:rPr>
            </w:pPr>
            <w:r w:rsidRPr="00D7360B">
              <w:rPr>
                <w:sz w:val="16"/>
                <w:szCs w:val="16"/>
              </w:rPr>
              <w:t>(mph)</w:t>
            </w:r>
          </w:p>
        </w:tc>
        <w:tc>
          <w:tcPr>
            <w:tcW w:w="1028" w:type="dxa"/>
          </w:tcPr>
          <w:p w14:paraId="3413F5B2" w14:textId="77777777" w:rsidR="00637E13" w:rsidRPr="00D7360B" w:rsidRDefault="00D7360B" w:rsidP="00D7360B">
            <w:pPr>
              <w:jc w:val="center"/>
              <w:rPr>
                <w:sz w:val="16"/>
                <w:szCs w:val="16"/>
              </w:rPr>
            </w:pPr>
            <w:r w:rsidRPr="00D7360B">
              <w:rPr>
                <w:sz w:val="16"/>
                <w:szCs w:val="16"/>
              </w:rPr>
              <w:t>Topographic</w:t>
            </w:r>
          </w:p>
          <w:p w14:paraId="66D184A3" w14:textId="749D0614" w:rsidR="00D7360B" w:rsidRPr="00D7360B" w:rsidRDefault="00D7360B" w:rsidP="00D7360B">
            <w:pPr>
              <w:jc w:val="center"/>
              <w:rPr>
                <w:sz w:val="16"/>
                <w:szCs w:val="16"/>
              </w:rPr>
            </w:pPr>
            <w:r w:rsidRPr="00D7360B">
              <w:rPr>
                <w:sz w:val="16"/>
                <w:szCs w:val="16"/>
              </w:rPr>
              <w:t>effects</w:t>
            </w:r>
          </w:p>
        </w:tc>
        <w:tc>
          <w:tcPr>
            <w:tcW w:w="671" w:type="dxa"/>
          </w:tcPr>
          <w:p w14:paraId="62B9D081" w14:textId="77777777" w:rsidR="00637E13" w:rsidRPr="00D7360B" w:rsidRDefault="00D7360B" w:rsidP="00D7360B">
            <w:pPr>
              <w:jc w:val="center"/>
              <w:rPr>
                <w:sz w:val="16"/>
                <w:szCs w:val="16"/>
              </w:rPr>
            </w:pPr>
            <w:r w:rsidRPr="00D7360B">
              <w:rPr>
                <w:sz w:val="16"/>
                <w:szCs w:val="16"/>
              </w:rPr>
              <w:t>Special wind</w:t>
            </w:r>
          </w:p>
          <w:p w14:paraId="0EDA453F" w14:textId="5E1941EB" w:rsidR="00D7360B" w:rsidRPr="00D7360B" w:rsidRDefault="00D7360B" w:rsidP="00D7360B">
            <w:pPr>
              <w:jc w:val="center"/>
              <w:rPr>
                <w:sz w:val="16"/>
                <w:szCs w:val="16"/>
              </w:rPr>
            </w:pPr>
            <w:r w:rsidRPr="00D7360B">
              <w:rPr>
                <w:sz w:val="16"/>
                <w:szCs w:val="16"/>
              </w:rPr>
              <w:t>region</w:t>
            </w:r>
          </w:p>
        </w:tc>
        <w:tc>
          <w:tcPr>
            <w:tcW w:w="634" w:type="dxa"/>
          </w:tcPr>
          <w:p w14:paraId="2E71AF84" w14:textId="77777777" w:rsidR="00637E13" w:rsidRDefault="00D7360B" w:rsidP="00D7360B">
            <w:pPr>
              <w:jc w:val="center"/>
              <w:rPr>
                <w:sz w:val="16"/>
                <w:szCs w:val="16"/>
              </w:rPr>
            </w:pPr>
            <w:r w:rsidRPr="00D7360B">
              <w:rPr>
                <w:sz w:val="16"/>
                <w:szCs w:val="16"/>
              </w:rPr>
              <w:t>Wind Debris</w:t>
            </w:r>
          </w:p>
          <w:p w14:paraId="0A818570" w14:textId="28B4CB45" w:rsidR="00D7360B" w:rsidRPr="00D7360B" w:rsidRDefault="00D7360B" w:rsidP="00D7360B">
            <w:pPr>
              <w:jc w:val="center"/>
              <w:rPr>
                <w:sz w:val="16"/>
                <w:szCs w:val="16"/>
              </w:rPr>
            </w:pPr>
            <w:r>
              <w:rPr>
                <w:sz w:val="16"/>
                <w:szCs w:val="16"/>
              </w:rPr>
              <w:t>Zone</w:t>
            </w:r>
          </w:p>
        </w:tc>
        <w:tc>
          <w:tcPr>
            <w:tcW w:w="800" w:type="dxa"/>
            <w:vMerge/>
          </w:tcPr>
          <w:p w14:paraId="25E8E0F2" w14:textId="77777777" w:rsidR="00637E13" w:rsidRPr="00D7360B" w:rsidRDefault="00637E13" w:rsidP="00D7360B">
            <w:pPr>
              <w:jc w:val="center"/>
              <w:rPr>
                <w:sz w:val="16"/>
                <w:szCs w:val="16"/>
              </w:rPr>
            </w:pPr>
          </w:p>
        </w:tc>
        <w:tc>
          <w:tcPr>
            <w:tcW w:w="984" w:type="dxa"/>
          </w:tcPr>
          <w:p w14:paraId="286A419F" w14:textId="4DC12396" w:rsidR="00637E13" w:rsidRPr="00D7360B" w:rsidRDefault="00D7360B" w:rsidP="00D7360B">
            <w:pPr>
              <w:jc w:val="center"/>
              <w:rPr>
                <w:sz w:val="16"/>
                <w:szCs w:val="16"/>
              </w:rPr>
            </w:pPr>
            <w:r>
              <w:rPr>
                <w:sz w:val="16"/>
                <w:szCs w:val="16"/>
              </w:rPr>
              <w:t>Weathering</w:t>
            </w:r>
          </w:p>
        </w:tc>
        <w:tc>
          <w:tcPr>
            <w:tcW w:w="616" w:type="dxa"/>
          </w:tcPr>
          <w:p w14:paraId="0F64351A" w14:textId="560C2990" w:rsidR="00637E13" w:rsidRPr="00D7360B" w:rsidRDefault="00D7360B" w:rsidP="00D7360B">
            <w:pPr>
              <w:jc w:val="center"/>
              <w:rPr>
                <w:sz w:val="16"/>
                <w:szCs w:val="16"/>
              </w:rPr>
            </w:pPr>
            <w:r>
              <w:rPr>
                <w:sz w:val="16"/>
                <w:szCs w:val="16"/>
              </w:rPr>
              <w:t>Frost line Depth</w:t>
            </w:r>
          </w:p>
        </w:tc>
        <w:tc>
          <w:tcPr>
            <w:tcW w:w="1102" w:type="dxa"/>
          </w:tcPr>
          <w:p w14:paraId="720A73C9" w14:textId="38315092" w:rsidR="00637E13" w:rsidRPr="00D7360B" w:rsidRDefault="00D7360B" w:rsidP="00A57AC5">
            <w:pPr>
              <w:rPr>
                <w:sz w:val="16"/>
                <w:szCs w:val="16"/>
              </w:rPr>
            </w:pPr>
            <w:r>
              <w:rPr>
                <w:sz w:val="16"/>
                <w:szCs w:val="16"/>
              </w:rPr>
              <w:t>Termite</w:t>
            </w:r>
          </w:p>
        </w:tc>
        <w:tc>
          <w:tcPr>
            <w:tcW w:w="669" w:type="dxa"/>
            <w:vMerge/>
          </w:tcPr>
          <w:p w14:paraId="1608D7FD" w14:textId="77777777" w:rsidR="00637E13" w:rsidRPr="00D7360B" w:rsidRDefault="00637E13" w:rsidP="00A57AC5">
            <w:pPr>
              <w:rPr>
                <w:sz w:val="16"/>
                <w:szCs w:val="16"/>
              </w:rPr>
            </w:pPr>
          </w:p>
        </w:tc>
        <w:tc>
          <w:tcPr>
            <w:tcW w:w="1154" w:type="dxa"/>
            <w:vMerge/>
          </w:tcPr>
          <w:p w14:paraId="6C52C306" w14:textId="77777777" w:rsidR="00637E13" w:rsidRPr="00D7360B" w:rsidRDefault="00637E13" w:rsidP="00D7360B">
            <w:pPr>
              <w:jc w:val="center"/>
              <w:rPr>
                <w:sz w:val="16"/>
                <w:szCs w:val="16"/>
              </w:rPr>
            </w:pPr>
          </w:p>
        </w:tc>
        <w:tc>
          <w:tcPr>
            <w:tcW w:w="735" w:type="dxa"/>
            <w:vMerge/>
          </w:tcPr>
          <w:p w14:paraId="3E10AD46" w14:textId="77777777" w:rsidR="00637E13" w:rsidRPr="00D7360B" w:rsidRDefault="00637E13" w:rsidP="00D7360B">
            <w:pPr>
              <w:jc w:val="center"/>
              <w:rPr>
                <w:sz w:val="16"/>
                <w:szCs w:val="16"/>
              </w:rPr>
            </w:pPr>
          </w:p>
        </w:tc>
        <w:tc>
          <w:tcPr>
            <w:tcW w:w="765" w:type="dxa"/>
            <w:vMerge/>
          </w:tcPr>
          <w:p w14:paraId="20D42615" w14:textId="77777777" w:rsidR="00637E13" w:rsidRPr="00D7360B" w:rsidRDefault="00637E13" w:rsidP="00D7360B">
            <w:pPr>
              <w:jc w:val="center"/>
              <w:rPr>
                <w:sz w:val="16"/>
                <w:szCs w:val="16"/>
              </w:rPr>
            </w:pPr>
          </w:p>
        </w:tc>
        <w:tc>
          <w:tcPr>
            <w:tcW w:w="675" w:type="dxa"/>
            <w:vMerge/>
          </w:tcPr>
          <w:p w14:paraId="05C5AA55" w14:textId="77777777" w:rsidR="00637E13" w:rsidRPr="00D7360B" w:rsidRDefault="00637E13" w:rsidP="00D7360B">
            <w:pPr>
              <w:jc w:val="center"/>
              <w:rPr>
                <w:sz w:val="16"/>
                <w:szCs w:val="16"/>
              </w:rPr>
            </w:pPr>
          </w:p>
        </w:tc>
      </w:tr>
      <w:tr w:rsidR="00D7360B" w14:paraId="59B4D4E0" w14:textId="77777777" w:rsidTr="00D7360B">
        <w:trPr>
          <w:trHeight w:val="135"/>
        </w:trPr>
        <w:tc>
          <w:tcPr>
            <w:tcW w:w="710" w:type="dxa"/>
          </w:tcPr>
          <w:p w14:paraId="57A4F261" w14:textId="7D05A3B7" w:rsidR="00637E13" w:rsidRPr="00D7360B" w:rsidRDefault="00650E25" w:rsidP="00637E13">
            <w:pPr>
              <w:jc w:val="center"/>
              <w:rPr>
                <w:sz w:val="16"/>
                <w:szCs w:val="16"/>
              </w:rPr>
            </w:pPr>
            <w:r>
              <w:rPr>
                <w:sz w:val="16"/>
                <w:szCs w:val="16"/>
              </w:rPr>
              <w:t>30</w:t>
            </w:r>
          </w:p>
        </w:tc>
        <w:tc>
          <w:tcPr>
            <w:tcW w:w="617" w:type="dxa"/>
          </w:tcPr>
          <w:p w14:paraId="1C4230AF" w14:textId="5DAA09BE" w:rsidR="00637E13" w:rsidRPr="00D7360B" w:rsidRDefault="00D7360B" w:rsidP="00D7360B">
            <w:pPr>
              <w:jc w:val="center"/>
              <w:rPr>
                <w:sz w:val="16"/>
                <w:szCs w:val="16"/>
              </w:rPr>
            </w:pPr>
            <w:r w:rsidRPr="00D7360B">
              <w:rPr>
                <w:sz w:val="16"/>
                <w:szCs w:val="16"/>
              </w:rPr>
              <w:t>115</w:t>
            </w:r>
          </w:p>
        </w:tc>
        <w:tc>
          <w:tcPr>
            <w:tcW w:w="1028" w:type="dxa"/>
          </w:tcPr>
          <w:p w14:paraId="3252770D" w14:textId="17E36731" w:rsidR="00637E13" w:rsidRPr="00D7360B" w:rsidRDefault="00D7360B" w:rsidP="00D7360B">
            <w:pPr>
              <w:jc w:val="center"/>
              <w:rPr>
                <w:sz w:val="16"/>
                <w:szCs w:val="16"/>
              </w:rPr>
            </w:pPr>
            <w:r w:rsidRPr="00D7360B">
              <w:rPr>
                <w:sz w:val="16"/>
                <w:szCs w:val="16"/>
              </w:rPr>
              <w:t>-</w:t>
            </w:r>
          </w:p>
        </w:tc>
        <w:tc>
          <w:tcPr>
            <w:tcW w:w="671" w:type="dxa"/>
          </w:tcPr>
          <w:p w14:paraId="20AE0085" w14:textId="23A8A1E1" w:rsidR="00637E13" w:rsidRPr="00D7360B" w:rsidRDefault="00D7360B" w:rsidP="00D7360B">
            <w:pPr>
              <w:jc w:val="center"/>
              <w:rPr>
                <w:sz w:val="16"/>
                <w:szCs w:val="16"/>
              </w:rPr>
            </w:pPr>
            <w:r w:rsidRPr="00D7360B">
              <w:rPr>
                <w:sz w:val="16"/>
                <w:szCs w:val="16"/>
              </w:rPr>
              <w:t>no</w:t>
            </w:r>
          </w:p>
        </w:tc>
        <w:tc>
          <w:tcPr>
            <w:tcW w:w="634" w:type="dxa"/>
          </w:tcPr>
          <w:p w14:paraId="6DF36487" w14:textId="30DFB282" w:rsidR="00637E13" w:rsidRPr="00D7360B" w:rsidRDefault="00D7360B" w:rsidP="00D7360B">
            <w:pPr>
              <w:jc w:val="center"/>
              <w:rPr>
                <w:sz w:val="16"/>
                <w:szCs w:val="16"/>
              </w:rPr>
            </w:pPr>
            <w:r w:rsidRPr="00D7360B">
              <w:rPr>
                <w:sz w:val="16"/>
                <w:szCs w:val="16"/>
              </w:rPr>
              <w:t>-</w:t>
            </w:r>
          </w:p>
        </w:tc>
        <w:tc>
          <w:tcPr>
            <w:tcW w:w="800" w:type="dxa"/>
          </w:tcPr>
          <w:p w14:paraId="2D648176" w14:textId="7A05457A" w:rsidR="00637E13" w:rsidRPr="00D7360B" w:rsidRDefault="00D7360B" w:rsidP="00D7360B">
            <w:pPr>
              <w:jc w:val="center"/>
              <w:rPr>
                <w:sz w:val="16"/>
                <w:szCs w:val="16"/>
              </w:rPr>
            </w:pPr>
            <w:r>
              <w:rPr>
                <w:sz w:val="16"/>
                <w:szCs w:val="16"/>
              </w:rPr>
              <w:t>A</w:t>
            </w:r>
          </w:p>
        </w:tc>
        <w:tc>
          <w:tcPr>
            <w:tcW w:w="984" w:type="dxa"/>
          </w:tcPr>
          <w:p w14:paraId="28B4B10A" w14:textId="65A185C3" w:rsidR="00637E13" w:rsidRPr="00D7360B" w:rsidRDefault="00D7360B" w:rsidP="00D7360B">
            <w:pPr>
              <w:jc w:val="center"/>
              <w:rPr>
                <w:sz w:val="16"/>
                <w:szCs w:val="16"/>
              </w:rPr>
            </w:pPr>
            <w:r>
              <w:rPr>
                <w:sz w:val="16"/>
                <w:szCs w:val="16"/>
              </w:rPr>
              <w:t>Sever</w:t>
            </w:r>
          </w:p>
        </w:tc>
        <w:tc>
          <w:tcPr>
            <w:tcW w:w="616" w:type="dxa"/>
          </w:tcPr>
          <w:p w14:paraId="36F8A845" w14:textId="7C89E0B9" w:rsidR="00637E13" w:rsidRPr="00D7360B" w:rsidRDefault="00D7360B" w:rsidP="00D7360B">
            <w:pPr>
              <w:jc w:val="center"/>
              <w:rPr>
                <w:sz w:val="16"/>
                <w:szCs w:val="16"/>
              </w:rPr>
            </w:pPr>
            <w:r>
              <w:rPr>
                <w:sz w:val="16"/>
                <w:szCs w:val="16"/>
              </w:rPr>
              <w:t>42”</w:t>
            </w:r>
          </w:p>
        </w:tc>
        <w:tc>
          <w:tcPr>
            <w:tcW w:w="1102" w:type="dxa"/>
          </w:tcPr>
          <w:p w14:paraId="03C74D6F" w14:textId="4E73BE40" w:rsidR="00637E13" w:rsidRPr="00D7360B" w:rsidRDefault="00D7360B" w:rsidP="00A57AC5">
            <w:pPr>
              <w:rPr>
                <w:sz w:val="16"/>
                <w:szCs w:val="16"/>
              </w:rPr>
            </w:pPr>
            <w:r>
              <w:rPr>
                <w:sz w:val="16"/>
                <w:szCs w:val="16"/>
              </w:rPr>
              <w:t>Mod-Heavy</w:t>
            </w:r>
          </w:p>
        </w:tc>
        <w:tc>
          <w:tcPr>
            <w:tcW w:w="669" w:type="dxa"/>
          </w:tcPr>
          <w:p w14:paraId="0FF24C55" w14:textId="77C4B9D8" w:rsidR="00637E13" w:rsidRPr="00D7360B" w:rsidRDefault="00D7360B" w:rsidP="00A57AC5">
            <w:pPr>
              <w:rPr>
                <w:sz w:val="16"/>
                <w:szCs w:val="16"/>
              </w:rPr>
            </w:pPr>
            <w:r w:rsidRPr="00D7360B">
              <w:rPr>
                <w:sz w:val="16"/>
                <w:szCs w:val="16"/>
              </w:rPr>
              <w:t>0</w:t>
            </w:r>
          </w:p>
        </w:tc>
        <w:tc>
          <w:tcPr>
            <w:tcW w:w="1154" w:type="dxa"/>
          </w:tcPr>
          <w:p w14:paraId="5D670469" w14:textId="017343AD" w:rsidR="00637E13" w:rsidRPr="00D7360B" w:rsidRDefault="00D7360B" w:rsidP="00D7360B">
            <w:pPr>
              <w:jc w:val="center"/>
              <w:rPr>
                <w:sz w:val="16"/>
                <w:szCs w:val="16"/>
              </w:rPr>
            </w:pPr>
            <w:r w:rsidRPr="00D7360B">
              <w:rPr>
                <w:sz w:val="16"/>
                <w:szCs w:val="16"/>
              </w:rPr>
              <w:t>Required</w:t>
            </w:r>
          </w:p>
        </w:tc>
        <w:tc>
          <w:tcPr>
            <w:tcW w:w="735" w:type="dxa"/>
          </w:tcPr>
          <w:p w14:paraId="54211E70" w14:textId="17691FD1" w:rsidR="00637E13" w:rsidRPr="00D7360B" w:rsidRDefault="00D7360B" w:rsidP="00D7360B">
            <w:pPr>
              <w:jc w:val="center"/>
              <w:rPr>
                <w:sz w:val="16"/>
                <w:szCs w:val="16"/>
              </w:rPr>
            </w:pPr>
            <w:r w:rsidRPr="00D7360B">
              <w:rPr>
                <w:sz w:val="16"/>
                <w:szCs w:val="16"/>
              </w:rPr>
              <w:t>3/1984</w:t>
            </w:r>
          </w:p>
        </w:tc>
        <w:tc>
          <w:tcPr>
            <w:tcW w:w="765" w:type="dxa"/>
          </w:tcPr>
          <w:p w14:paraId="159996EA" w14:textId="467ADCAB" w:rsidR="00637E13" w:rsidRPr="00D7360B" w:rsidRDefault="00D7360B" w:rsidP="00D7360B">
            <w:pPr>
              <w:jc w:val="center"/>
              <w:rPr>
                <w:sz w:val="16"/>
                <w:szCs w:val="16"/>
              </w:rPr>
            </w:pPr>
            <w:r w:rsidRPr="00D7360B">
              <w:rPr>
                <w:sz w:val="16"/>
                <w:szCs w:val="16"/>
              </w:rPr>
              <w:t>1833</w:t>
            </w:r>
          </w:p>
        </w:tc>
        <w:tc>
          <w:tcPr>
            <w:tcW w:w="675" w:type="dxa"/>
          </w:tcPr>
          <w:p w14:paraId="403F5BE2" w14:textId="283EEE55" w:rsidR="00637E13" w:rsidRPr="00D7360B" w:rsidRDefault="00D7360B" w:rsidP="00D7360B">
            <w:pPr>
              <w:jc w:val="center"/>
              <w:rPr>
                <w:sz w:val="16"/>
                <w:szCs w:val="16"/>
              </w:rPr>
            </w:pPr>
            <w:r w:rsidRPr="00D7360B">
              <w:rPr>
                <w:sz w:val="16"/>
                <w:szCs w:val="16"/>
              </w:rPr>
              <w:t>48.6 F</w:t>
            </w:r>
          </w:p>
        </w:tc>
      </w:tr>
    </w:tbl>
    <w:p w14:paraId="3E60B0CA" w14:textId="77777777" w:rsidR="00AA139C" w:rsidRDefault="00AA139C" w:rsidP="00A57AC5"/>
    <w:p w14:paraId="50B16D12" w14:textId="1B971FAD" w:rsidR="00817472" w:rsidRDefault="00817472" w:rsidP="00A57AC5">
      <w:r>
        <w:t>Delete Code Section: IRC 302.13 Fire Protection of Floors.</w:t>
      </w:r>
    </w:p>
    <w:p w14:paraId="496B4F2B" w14:textId="29983EE4" w:rsidR="0060265B" w:rsidRDefault="0060265B" w:rsidP="00A57AC5">
      <w:r w:rsidRPr="0060265B">
        <w:t>Delete Exception 2 of Section: IRC 310.1 Do not replace with any other language:</w:t>
      </w:r>
    </w:p>
    <w:p w14:paraId="09B5CFE2" w14:textId="77777777" w:rsidR="009A7CA1" w:rsidRDefault="00701C5D" w:rsidP="00A57AC5">
      <w:r w:rsidRPr="00701C5D">
        <w:t xml:space="preserve">Insert Exception #1 into Code Section: IRC 310.2.2 </w:t>
      </w:r>
    </w:p>
    <w:p w14:paraId="0DB4DE63" w14:textId="019D46E7" w:rsidR="00701C5D" w:rsidRDefault="00701C5D" w:rsidP="00A57AC5">
      <w:r w:rsidRPr="00701C5D">
        <w:t>Add the following language:</w:t>
      </w:r>
    </w:p>
    <w:p w14:paraId="303C062D" w14:textId="77777777" w:rsidR="00701C5D" w:rsidRDefault="00701C5D" w:rsidP="009A7CA1">
      <w:pPr>
        <w:ind w:firstLine="360"/>
      </w:pPr>
      <w:r>
        <w:t xml:space="preserve">Exception </w:t>
      </w:r>
    </w:p>
    <w:p w14:paraId="2497D31F" w14:textId="795AF879" w:rsidR="00701C5D" w:rsidRDefault="00701C5D" w:rsidP="00701C5D">
      <w:pPr>
        <w:pStyle w:val="ListParagraph"/>
        <w:numPr>
          <w:ilvl w:val="0"/>
          <w:numId w:val="1"/>
        </w:numPr>
      </w:pPr>
      <w:r>
        <w:t>A landing may be provided to meet the maximum sill height of forty-four (44) inches above the floor or landing provided. The landing shall be not less than thirty-six (36) inches wide, not less than twelve (12) inches out from the exterior wall, and not more than twenty-four (24) inches in height. The landing shall be permanently affixed to the floor below or the wall under the window it serves.</w:t>
      </w:r>
    </w:p>
    <w:p w14:paraId="225E4807" w14:textId="2EE62C19" w:rsidR="009A7CA1" w:rsidRDefault="00701C5D" w:rsidP="00701C5D">
      <w:r w:rsidRPr="00701C5D">
        <w:t xml:space="preserve">Modify Code Section: IRC R310.2.4  </w:t>
      </w:r>
      <w:r w:rsidR="009A7CA1">
        <w:tab/>
      </w:r>
    </w:p>
    <w:p w14:paraId="75091AED" w14:textId="7A36C631" w:rsidR="00701C5D" w:rsidRDefault="00701C5D" w:rsidP="00701C5D">
      <w:r w:rsidRPr="00701C5D">
        <w:t>Replace with the following language:</w:t>
      </w:r>
    </w:p>
    <w:p w14:paraId="557473B5" w14:textId="690B2A0E" w:rsidR="00701C5D" w:rsidRDefault="00701C5D" w:rsidP="009A7CA1">
      <w:pPr>
        <w:ind w:left="720"/>
      </w:pPr>
      <w:r w:rsidRPr="00701C5D">
        <w:t>Section R310.2.4 Emergency escape windows under decks and porches.  Emergency escape and rescue openings installed under decks and porches shall be fully openable and provide a path not less than 36 inches (914mm) in height to a yard or court. Cantilever areas of all construction elements shall be regulated in accordance with this section.</w:t>
      </w:r>
    </w:p>
    <w:p w14:paraId="2DB36FA0" w14:textId="77777777" w:rsidR="009A7CA1" w:rsidRDefault="00701C5D" w:rsidP="00701C5D">
      <w:r w:rsidRPr="00701C5D">
        <w:t xml:space="preserve">Modify Exception to Code Section: IRC R310.6 </w:t>
      </w:r>
    </w:p>
    <w:p w14:paraId="6C594781" w14:textId="1EF4BAEA" w:rsidR="00701C5D" w:rsidRDefault="00701C5D" w:rsidP="00701C5D">
      <w:r w:rsidRPr="00701C5D">
        <w:t>Replace with the following language:</w:t>
      </w:r>
    </w:p>
    <w:p w14:paraId="7FF90C1B" w14:textId="66975813" w:rsidR="00701C5D" w:rsidRDefault="00701C5D" w:rsidP="009A7CA1">
      <w:pPr>
        <w:ind w:left="720"/>
      </w:pPr>
      <w:r w:rsidRPr="00701C5D">
        <w:t>Exception: New habitable spaces created in an existing basement shall be provided with emergency escape and rescue openings in accordance with Section R310.1.</w:t>
      </w:r>
    </w:p>
    <w:p w14:paraId="4C5B1BCA" w14:textId="77777777" w:rsidR="0031736F" w:rsidRDefault="0031736F" w:rsidP="00701C5D"/>
    <w:p w14:paraId="1648C68E" w14:textId="7348D688" w:rsidR="009A7CA1" w:rsidRDefault="00701C5D" w:rsidP="00701C5D">
      <w:r w:rsidRPr="00701C5D">
        <w:t xml:space="preserve">Modify Exception to Code Section: IRC R311.3.2 </w:t>
      </w:r>
    </w:p>
    <w:p w14:paraId="571ABA07" w14:textId="57CE0954" w:rsidR="00701C5D" w:rsidRDefault="00701C5D" w:rsidP="00701C5D">
      <w:r w:rsidRPr="00701C5D">
        <w:t>Replace with the following language:</w:t>
      </w:r>
    </w:p>
    <w:p w14:paraId="6AF0BAB8" w14:textId="40B51163" w:rsidR="00701C5D" w:rsidRDefault="00701C5D" w:rsidP="009A7CA1">
      <w:pPr>
        <w:ind w:left="720"/>
      </w:pPr>
      <w:r w:rsidRPr="00701C5D">
        <w:t>Exception: A top landing is not required where a stairway of not more than four risers is located on the exterior side of a door, provided the door does not swing over the stairway.</w:t>
      </w:r>
    </w:p>
    <w:p w14:paraId="74D57E2A" w14:textId="77777777" w:rsidR="009A7CA1" w:rsidRDefault="00701C5D" w:rsidP="00701C5D">
      <w:r w:rsidRPr="00701C5D">
        <w:t xml:space="preserve">Insert Exception #3 into Code Section: IRC 311.7.5.1 </w:t>
      </w:r>
    </w:p>
    <w:p w14:paraId="7D68E8B7" w14:textId="00F5E817" w:rsidR="00701C5D" w:rsidRDefault="00701C5D" w:rsidP="00701C5D">
      <w:r w:rsidRPr="00701C5D">
        <w:t>Add to the following language:</w:t>
      </w:r>
    </w:p>
    <w:p w14:paraId="5FFC4681" w14:textId="77777777" w:rsidR="00701C5D" w:rsidRDefault="00701C5D" w:rsidP="009A7CA1">
      <w:pPr>
        <w:ind w:firstLine="360"/>
      </w:pPr>
      <w:r>
        <w:t xml:space="preserve">Exception </w:t>
      </w:r>
    </w:p>
    <w:p w14:paraId="23CE931B" w14:textId="3E4DB4AA" w:rsidR="00701C5D" w:rsidRDefault="00701C5D" w:rsidP="00701C5D">
      <w:pPr>
        <w:pStyle w:val="ListParagraph"/>
        <w:numPr>
          <w:ilvl w:val="0"/>
          <w:numId w:val="1"/>
        </w:numPr>
      </w:pPr>
      <w:r>
        <w:t>The dimension of the top and bottom riser of a stair may vary up to 1-inch (25.4 mm) from the stairway riser dimension; however, in no case shall the riser height exceed seven and three-quarter inches.</w:t>
      </w:r>
    </w:p>
    <w:p w14:paraId="265F41D1" w14:textId="77777777" w:rsidR="009A7CA1" w:rsidRDefault="00701C5D" w:rsidP="00701C5D">
      <w:r w:rsidRPr="00701C5D">
        <w:t xml:space="preserve">Modify/Add Exceptions to Code Section: IRC R311.7.8.2 </w:t>
      </w:r>
    </w:p>
    <w:p w14:paraId="359C0A8E" w14:textId="3D55F9DC" w:rsidR="00701C5D" w:rsidRDefault="00701C5D" w:rsidP="00701C5D">
      <w:r w:rsidRPr="00701C5D">
        <w:t>Add the following exception:</w:t>
      </w:r>
    </w:p>
    <w:p w14:paraId="66FC0E4A" w14:textId="77777777" w:rsidR="00701C5D" w:rsidRDefault="00701C5D" w:rsidP="009A7CA1">
      <w:pPr>
        <w:ind w:firstLine="360"/>
      </w:pPr>
      <w:r>
        <w:t xml:space="preserve">Exception </w:t>
      </w:r>
    </w:p>
    <w:p w14:paraId="3A4A30F7" w14:textId="1833AFCC" w:rsidR="00701C5D" w:rsidRDefault="00701C5D" w:rsidP="00701C5D">
      <w:pPr>
        <w:pStyle w:val="ListParagraph"/>
        <w:numPr>
          <w:ilvl w:val="0"/>
          <w:numId w:val="1"/>
        </w:numPr>
      </w:pPr>
      <w:r>
        <w:t>Handrails within a dwelling unit or serving an individual dwelling unit shall be permitted to be interrupted at one location in a straight stair when the rail terminates into a wall or ledge and is offset and immediately continues.</w:t>
      </w:r>
    </w:p>
    <w:p w14:paraId="046B1490" w14:textId="77777777" w:rsidR="00701C5D" w:rsidRDefault="00701C5D" w:rsidP="00701C5D">
      <w:r>
        <w:t xml:space="preserve">Modify Code Section: IRC R312.1.1  </w:t>
      </w:r>
    </w:p>
    <w:p w14:paraId="6CFF462A" w14:textId="7D420A19" w:rsidR="00701C5D" w:rsidRDefault="00701C5D" w:rsidP="00701C5D">
      <w:r>
        <w:t>Replace with the following language and add exception:</w:t>
      </w:r>
    </w:p>
    <w:p w14:paraId="7CD11D6F" w14:textId="77777777" w:rsidR="00701C5D" w:rsidRDefault="00701C5D" w:rsidP="009A7CA1">
      <w:pPr>
        <w:ind w:left="720"/>
      </w:pPr>
      <w:r>
        <w:t xml:space="preserve">R312.1.1 Where required. Guards shall be provided for those portions of open-sided walking surfaces, including stairs, ramps and landings, driveways, sidewalks, patios, and decks that are located more than 30 inches (762 mm) measured vertically to the floor or grade below at any point within 36 inches (914 mm) horizontally to the edge of the open side. Insect screening shall not be considered as a guard. </w:t>
      </w:r>
    </w:p>
    <w:p w14:paraId="698A536C" w14:textId="62611694" w:rsidR="00701C5D" w:rsidRDefault="00701C5D" w:rsidP="00701C5D">
      <w:r>
        <w:t>Exception: Portions of retaining wall where the horizontal distance between the edge of the walking surface and the face of the wall is greater than 36-inches.</w:t>
      </w:r>
    </w:p>
    <w:p w14:paraId="32273C71" w14:textId="77777777" w:rsidR="00701C5D" w:rsidRDefault="00701C5D" w:rsidP="00701C5D">
      <w:r w:rsidRPr="00701C5D">
        <w:t xml:space="preserve">Delete Code Section: IRC 313.1 </w:t>
      </w:r>
    </w:p>
    <w:p w14:paraId="41AC1AE2" w14:textId="12DC8D59" w:rsidR="00701C5D" w:rsidRDefault="00701C5D" w:rsidP="00701C5D">
      <w:r w:rsidRPr="00701C5D">
        <w:t>Replace with the following language:</w:t>
      </w:r>
    </w:p>
    <w:p w14:paraId="66107264" w14:textId="77777777" w:rsidR="00701C5D" w:rsidRDefault="00701C5D" w:rsidP="00701C5D">
      <w:pPr>
        <w:ind w:left="720"/>
      </w:pPr>
      <w:r>
        <w:t xml:space="preserve">313.1 Townhomes automatic fire sprinkler systems. An automatic residential fire sprinkler system shall be installed in townhouses. </w:t>
      </w:r>
    </w:p>
    <w:p w14:paraId="7ADFC570" w14:textId="77777777" w:rsidR="00701C5D" w:rsidRDefault="00701C5D" w:rsidP="00701C5D">
      <w:pPr>
        <w:ind w:firstLine="720"/>
      </w:pPr>
      <w:r>
        <w:t>Exceptions:</w:t>
      </w:r>
      <w:r w:rsidRPr="00701C5D">
        <w:t xml:space="preserve"> </w:t>
      </w:r>
    </w:p>
    <w:p w14:paraId="4422A48C" w14:textId="40A7A7DE" w:rsidR="00701C5D" w:rsidRDefault="00701C5D" w:rsidP="00701C5D">
      <w:pPr>
        <w:ind w:left="720"/>
      </w:pPr>
      <w:r>
        <w:lastRenderedPageBreak/>
        <w:t>1.</w:t>
      </w:r>
      <w:r>
        <w:tab/>
        <w:t>An automatic residential fire sprinkler system shall not be required where additions or alterations are made to existing townhouses that do not have an automatic residential fire sprinkler system installed.</w:t>
      </w:r>
    </w:p>
    <w:p w14:paraId="000F66E8" w14:textId="77777777" w:rsidR="00701C5D" w:rsidRDefault="00701C5D" w:rsidP="00701C5D">
      <w:pPr>
        <w:ind w:firstLine="720"/>
      </w:pPr>
      <w:r>
        <w:t>2.</w:t>
      </w:r>
      <w:r>
        <w:tab/>
        <w:t>Townhouse structures that contain eight (8) or less dwelling units.</w:t>
      </w:r>
    </w:p>
    <w:p w14:paraId="3A0C5FD2" w14:textId="26467BDE" w:rsidR="00701C5D" w:rsidRDefault="00701C5D" w:rsidP="00701C5D">
      <w:pPr>
        <w:ind w:left="720"/>
      </w:pPr>
      <w:r>
        <w:t>3.</w:t>
      </w:r>
      <w:r>
        <w:tab/>
        <w:t>Townhouse structures less than eighteen thousand (18,000) square feet floor space, exclusive of any garages.</w:t>
      </w:r>
    </w:p>
    <w:p w14:paraId="320751A2" w14:textId="77777777" w:rsidR="00701C5D" w:rsidRDefault="00701C5D" w:rsidP="00701C5D">
      <w:r w:rsidRPr="00701C5D">
        <w:t xml:space="preserve">Delete Code Section: IRC 313.2 </w:t>
      </w:r>
    </w:p>
    <w:p w14:paraId="543BA067" w14:textId="5DD370C4" w:rsidR="00701C5D" w:rsidRDefault="00701C5D" w:rsidP="00701C5D">
      <w:r w:rsidRPr="00701C5D">
        <w:t>Replace with the following language:</w:t>
      </w:r>
    </w:p>
    <w:p w14:paraId="2DCF5DFF" w14:textId="77777777" w:rsidR="00701C5D" w:rsidRDefault="00701C5D" w:rsidP="00701C5D">
      <w:pPr>
        <w:ind w:left="720"/>
      </w:pPr>
      <w:r>
        <w:t xml:space="preserve">313.2 One- and two-family dwelling automatic fire sprinkler systems. An automatic residential fire sprinkler system shall be installed in one- and two-family dwellings. </w:t>
      </w:r>
    </w:p>
    <w:p w14:paraId="139A02E5" w14:textId="0165BE71" w:rsidR="00701C5D" w:rsidRDefault="00701C5D" w:rsidP="00701C5D">
      <w:pPr>
        <w:ind w:firstLine="720"/>
      </w:pPr>
      <w:r>
        <w:t>Exceptions:</w:t>
      </w:r>
    </w:p>
    <w:p w14:paraId="32A17D24" w14:textId="77777777" w:rsidR="00701C5D" w:rsidRDefault="00701C5D" w:rsidP="00701C5D">
      <w:pPr>
        <w:ind w:left="720"/>
      </w:pPr>
      <w:r>
        <w:t>1.</w:t>
      </w:r>
      <w:r>
        <w:tab/>
        <w:t>An automatic residential fire sprinkler system shall not be required where additions or alterations are made to existing buildings that are not already provided with an automatic residential fire sprinkler system.</w:t>
      </w:r>
    </w:p>
    <w:p w14:paraId="3747AAA0" w14:textId="6246DD7B" w:rsidR="00701C5D" w:rsidRDefault="00701C5D" w:rsidP="00701C5D">
      <w:pPr>
        <w:ind w:left="720"/>
      </w:pPr>
      <w:r>
        <w:t>2.</w:t>
      </w:r>
      <w:r>
        <w:tab/>
        <w:t>One-and two-family dwellings containing less than eight thousand (8,000) square feet of floor space, excluding attached garages and other unenclosed areas.</w:t>
      </w:r>
    </w:p>
    <w:p w14:paraId="646F2EFA" w14:textId="77777777" w:rsidR="00701C5D" w:rsidRDefault="00701C5D" w:rsidP="00701C5D">
      <w:r w:rsidRPr="00701C5D">
        <w:t xml:space="preserve">Modify Exception #1 to Code Section: IRC R403.1.4.1 </w:t>
      </w:r>
    </w:p>
    <w:p w14:paraId="53ABB171" w14:textId="186A23BC" w:rsidR="00701C5D" w:rsidRDefault="00701C5D" w:rsidP="00701C5D">
      <w:r w:rsidRPr="00701C5D">
        <w:t>Replace with the following exception:</w:t>
      </w:r>
    </w:p>
    <w:p w14:paraId="3AE9A0E3" w14:textId="34E9A7D1" w:rsidR="00701C5D" w:rsidRDefault="00701C5D" w:rsidP="00701C5D">
      <w:r w:rsidRPr="00701C5D">
        <w:t>Exception</w:t>
      </w:r>
    </w:p>
    <w:p w14:paraId="02D7BB1F" w14:textId="3399E791" w:rsidR="00701C5D" w:rsidRDefault="00701C5D" w:rsidP="00701C5D">
      <w:pPr>
        <w:pStyle w:val="ListParagraph"/>
        <w:numPr>
          <w:ilvl w:val="0"/>
          <w:numId w:val="2"/>
        </w:numPr>
      </w:pPr>
      <w:r w:rsidRPr="00701C5D">
        <w:t>Detached garages of light frame wood construction with an area of 1024 square feet</w:t>
      </w:r>
    </w:p>
    <w:p w14:paraId="5395C456" w14:textId="6CFD4372" w:rsidR="00701C5D" w:rsidRDefault="00701C5D" w:rsidP="00701C5D">
      <w:pPr>
        <w:pStyle w:val="ListParagraph"/>
      </w:pPr>
      <w:r w:rsidRPr="00701C5D">
        <w:t xml:space="preserve">or less and located more than 10 feet from a dwelling or attached garage may be provided with a floating </w:t>
      </w:r>
      <w:r w:rsidR="00A717DF" w:rsidRPr="00701C5D">
        <w:t>slab,</w:t>
      </w:r>
      <w:r w:rsidRPr="00701C5D">
        <w:t xml:space="preserve"> where all the following conditions are met:</w:t>
      </w:r>
    </w:p>
    <w:p w14:paraId="50C64FCC" w14:textId="7965A4A5" w:rsidR="00701C5D" w:rsidRDefault="00701C5D" w:rsidP="00701C5D">
      <w:pPr>
        <w:pStyle w:val="ListParagraph"/>
        <w:numPr>
          <w:ilvl w:val="1"/>
          <w:numId w:val="2"/>
        </w:numPr>
      </w:pPr>
      <w:r w:rsidRPr="00701C5D">
        <w:t>The bottom portion of the thickened slab area shall be twelve (12) by twelve</w:t>
      </w:r>
    </w:p>
    <w:p w14:paraId="6E2E1843" w14:textId="2029E112" w:rsidR="00701C5D" w:rsidRDefault="00701C5D" w:rsidP="00701C5D">
      <w:pPr>
        <w:pStyle w:val="ListParagraph"/>
        <w:spacing w:after="0"/>
        <w:ind w:left="1080"/>
      </w:pPr>
      <w:r w:rsidRPr="00701C5D">
        <w:t>(12) inches with one (1) number four (4) bar placed near the top and bottom of the edge.</w:t>
      </w:r>
    </w:p>
    <w:p w14:paraId="6E8BF7A4" w14:textId="77777777" w:rsidR="00701C5D" w:rsidRDefault="00701C5D" w:rsidP="00701C5D">
      <w:pPr>
        <w:spacing w:after="0"/>
      </w:pPr>
      <w:r>
        <w:tab/>
        <w:t xml:space="preserve">1.2 The slab floor shall be not less than four (4) inches thick with one (1) number </w:t>
      </w:r>
    </w:p>
    <w:p w14:paraId="0AA8311D" w14:textId="6E548A0C" w:rsidR="00701C5D" w:rsidRDefault="00701C5D" w:rsidP="00701C5D">
      <w:pPr>
        <w:spacing w:after="0"/>
        <w:ind w:left="720"/>
      </w:pPr>
      <w:r>
        <w:t xml:space="preserve">four (4) </w:t>
      </w:r>
      <w:proofErr w:type="gramStart"/>
      <w:r>
        <w:t>bar</w:t>
      </w:r>
      <w:proofErr w:type="gramEnd"/>
      <w:r>
        <w:t xml:space="preserve"> placed every two (2) feet on center or in a 6 by 6 mesh.  </w:t>
      </w:r>
    </w:p>
    <w:p w14:paraId="01AC4530" w14:textId="4EBF0CA0" w:rsidR="00701C5D" w:rsidRDefault="00701C5D" w:rsidP="001A585D">
      <w:pPr>
        <w:pStyle w:val="ListParagraph"/>
        <w:numPr>
          <w:ilvl w:val="1"/>
          <w:numId w:val="2"/>
        </w:numPr>
        <w:spacing w:after="0"/>
      </w:pPr>
      <w:r>
        <w:t xml:space="preserve">The slab pour shall be continuous.  </w:t>
      </w:r>
    </w:p>
    <w:p w14:paraId="125432AA" w14:textId="77777777" w:rsidR="001A585D" w:rsidRDefault="001A585D" w:rsidP="001A585D">
      <w:pPr>
        <w:spacing w:after="0"/>
      </w:pPr>
    </w:p>
    <w:p w14:paraId="6E59A6E6" w14:textId="24860996" w:rsidR="001A585D" w:rsidRDefault="001A585D" w:rsidP="001A585D">
      <w:pPr>
        <w:spacing w:after="0"/>
      </w:pPr>
      <w:r w:rsidRPr="001A585D">
        <w:t xml:space="preserve">Modify Exception #3 to Code Section: IRC R403.1.4.1 </w:t>
      </w:r>
    </w:p>
    <w:p w14:paraId="05B6AD32" w14:textId="0BD0C002" w:rsidR="001A585D" w:rsidRDefault="001A585D" w:rsidP="001A585D">
      <w:pPr>
        <w:spacing w:before="240" w:after="0"/>
      </w:pPr>
      <w:r w:rsidRPr="001A585D">
        <w:t>Replace with the following exception:</w:t>
      </w:r>
    </w:p>
    <w:p w14:paraId="6262B1AA" w14:textId="2634DA25" w:rsidR="001A585D" w:rsidRDefault="001A585D" w:rsidP="009A7CA1">
      <w:pPr>
        <w:spacing w:before="240" w:after="0"/>
        <w:ind w:firstLine="720"/>
      </w:pPr>
      <w:r w:rsidRPr="001A585D">
        <w:t>Exception</w:t>
      </w:r>
    </w:p>
    <w:p w14:paraId="54A175A3" w14:textId="01177E4E" w:rsidR="001A585D" w:rsidRDefault="001A585D" w:rsidP="001A585D">
      <w:pPr>
        <w:spacing w:before="240" w:after="0"/>
        <w:ind w:left="720"/>
      </w:pPr>
      <w:r w:rsidRPr="001A585D">
        <w:t>3. Decks less than 30" above grade (measured at any point within 36" horizontally to</w:t>
      </w:r>
      <w:r>
        <w:t xml:space="preserve"> </w:t>
      </w:r>
      <w:r w:rsidRPr="001A585D">
        <w:t>the edge of any side), or decks not supported by a dwelling, shall not require footings that extend below the frost line.</w:t>
      </w:r>
    </w:p>
    <w:p w14:paraId="3ACE1E05" w14:textId="77777777" w:rsidR="0031736F" w:rsidRDefault="0031736F" w:rsidP="001A585D">
      <w:pPr>
        <w:spacing w:before="240" w:after="0"/>
      </w:pPr>
    </w:p>
    <w:p w14:paraId="2BCE3877" w14:textId="77777777" w:rsidR="0031736F" w:rsidRDefault="0031736F" w:rsidP="001A585D">
      <w:pPr>
        <w:spacing w:before="240" w:after="0"/>
      </w:pPr>
    </w:p>
    <w:p w14:paraId="363D464E" w14:textId="10627279" w:rsidR="001A585D" w:rsidRDefault="001A585D" w:rsidP="001A585D">
      <w:pPr>
        <w:spacing w:before="240" w:after="0"/>
      </w:pPr>
      <w:r w:rsidRPr="001A585D">
        <w:t xml:space="preserve">Modify Code Section: IRC R404.1  </w:t>
      </w:r>
    </w:p>
    <w:p w14:paraId="5A09C67F" w14:textId="67BEE631" w:rsidR="001A585D" w:rsidRDefault="001A585D" w:rsidP="001A585D">
      <w:pPr>
        <w:spacing w:before="240" w:after="0"/>
      </w:pPr>
      <w:r w:rsidRPr="001A585D">
        <w:t>Replace with the following language:</w:t>
      </w:r>
    </w:p>
    <w:p w14:paraId="2191C70F" w14:textId="1084846A" w:rsidR="001A585D" w:rsidRDefault="001A585D" w:rsidP="001A585D">
      <w:pPr>
        <w:spacing w:before="240" w:after="0"/>
        <w:ind w:left="720"/>
      </w:pPr>
      <w:r w:rsidRPr="001A585D">
        <w:t>Section R404.1 Concrete and masonry foundation walls. Concrete foundation walls shall be selected and constructed in accordance with the provisions of Section R404.1.3. Masonry foundation walls shall be selected and constructed in accordance with the provisions of Section R404.1.2. If backfill prior to a poured in place floor slab is desired, one of the following methods to provide bottom lateral support shall be completed: (1) a full depth (minimum 1-1/2”) nominal 2” x 4” keyway may be formed into the footings to secure the bottom of the foundation wall -or- (2) 36” long vertical # 4 rebar may be embedded a minimum of 6” into the footings not to exceed 7’ on center spacing.</w:t>
      </w:r>
    </w:p>
    <w:p w14:paraId="1F24CFA4" w14:textId="77777777" w:rsidR="00916C45" w:rsidRDefault="00916C45" w:rsidP="00916C45">
      <w:pPr>
        <w:spacing w:before="240" w:after="0"/>
      </w:pPr>
      <w:r>
        <w:t xml:space="preserve">Modify Code Section: IRC M1502.4.2  </w:t>
      </w:r>
    </w:p>
    <w:p w14:paraId="70C4B30D" w14:textId="16CB23FD" w:rsidR="001A585D" w:rsidRDefault="00916C45" w:rsidP="00916C45">
      <w:pPr>
        <w:spacing w:before="240" w:after="0"/>
      </w:pPr>
      <w:r>
        <w:t>Replace with the following language and exception:</w:t>
      </w:r>
    </w:p>
    <w:p w14:paraId="14C74494" w14:textId="4FF8245D" w:rsidR="00916C45" w:rsidRDefault="00916C45" w:rsidP="00916C45">
      <w:pPr>
        <w:spacing w:before="240" w:after="0"/>
        <w:ind w:left="720"/>
      </w:pPr>
      <w:r>
        <w:t xml:space="preserve">M1502.4.2 Duct installation. Exhaust ducts shall be supported at intervals not to exceed 4 feet, (3658 mm) and shall be secured in place. The insert end of the duct shall extend into the adjoining duct or fitting in the direction of airflow. Exhaust duct joints shall be sealed in accordance with Section M1601.4.1 and shall be mechanically fastened. Ducts shall not be joined with screws or similar fasteners. Where dryer exhaust ducts are enclosed in wall or ceiling cavities, such cavities shall be of sufficient size to allow the installation of the duct, without changing the configuration of the duct. </w:t>
      </w:r>
    </w:p>
    <w:p w14:paraId="2FEE839B" w14:textId="77777777" w:rsidR="0034105F" w:rsidRDefault="00916C45" w:rsidP="0034105F">
      <w:pPr>
        <w:spacing w:before="240" w:after="0"/>
        <w:ind w:left="720"/>
      </w:pPr>
      <w:r>
        <w:t>Exception: Dryer duct sections that are longer than 4 feet shall be supported minimally every 6 feet.</w:t>
      </w:r>
    </w:p>
    <w:p w14:paraId="0D644983" w14:textId="77777777" w:rsidR="000F091B" w:rsidRDefault="000F091B" w:rsidP="0034105F">
      <w:pPr>
        <w:spacing w:before="240" w:after="0"/>
      </w:pPr>
    </w:p>
    <w:p w14:paraId="6ED5D631" w14:textId="77777777" w:rsidR="0031736F" w:rsidRDefault="0031736F" w:rsidP="0034105F">
      <w:pPr>
        <w:spacing w:before="240" w:after="0"/>
      </w:pPr>
    </w:p>
    <w:p w14:paraId="042D8415" w14:textId="77777777" w:rsidR="0031736F" w:rsidRDefault="0031736F" w:rsidP="0034105F">
      <w:pPr>
        <w:spacing w:before="240" w:after="0"/>
      </w:pPr>
    </w:p>
    <w:p w14:paraId="26E9059D" w14:textId="77777777" w:rsidR="0031736F" w:rsidRDefault="0031736F" w:rsidP="0034105F">
      <w:pPr>
        <w:spacing w:before="240" w:after="0"/>
      </w:pPr>
    </w:p>
    <w:p w14:paraId="2BBEAD68" w14:textId="77777777" w:rsidR="0031736F" w:rsidRDefault="0031736F" w:rsidP="0034105F">
      <w:pPr>
        <w:spacing w:before="240" w:after="0"/>
      </w:pPr>
    </w:p>
    <w:p w14:paraId="5AC716F2" w14:textId="77777777" w:rsidR="0031736F" w:rsidRDefault="0031736F" w:rsidP="0034105F">
      <w:pPr>
        <w:spacing w:before="240" w:after="0"/>
      </w:pPr>
    </w:p>
    <w:p w14:paraId="74924D9D" w14:textId="77777777" w:rsidR="0031736F" w:rsidRDefault="0031736F" w:rsidP="0034105F">
      <w:pPr>
        <w:spacing w:before="240" w:after="0"/>
      </w:pPr>
    </w:p>
    <w:p w14:paraId="60AF0F62" w14:textId="77777777" w:rsidR="0031736F" w:rsidRDefault="0031736F" w:rsidP="0034105F">
      <w:pPr>
        <w:spacing w:before="240" w:after="0"/>
      </w:pPr>
    </w:p>
    <w:p w14:paraId="67FF32E9" w14:textId="77777777" w:rsidR="0031736F" w:rsidRDefault="0031736F" w:rsidP="0034105F">
      <w:pPr>
        <w:spacing w:before="240" w:after="0"/>
      </w:pPr>
    </w:p>
    <w:p w14:paraId="756E7C71" w14:textId="77777777" w:rsidR="0031736F" w:rsidRDefault="0031736F" w:rsidP="0034105F">
      <w:pPr>
        <w:spacing w:before="240" w:after="0"/>
      </w:pPr>
    </w:p>
    <w:p w14:paraId="7EE65059" w14:textId="445113B9" w:rsidR="00AE5B5A" w:rsidRDefault="00AE5B5A" w:rsidP="0034105F">
      <w:pPr>
        <w:spacing w:before="240" w:after="0"/>
      </w:pPr>
      <w:r w:rsidRPr="00AE5B5A">
        <w:t xml:space="preserve">Add Code Section: IRC R404.1.3.2.3  </w:t>
      </w:r>
    </w:p>
    <w:p w14:paraId="38F6E119" w14:textId="64A5541A" w:rsidR="00AE5B5A" w:rsidRDefault="00AE5B5A" w:rsidP="00916C45">
      <w:pPr>
        <w:spacing w:before="240" w:after="0"/>
      </w:pPr>
      <w:r w:rsidRPr="00AE5B5A">
        <w:t>Insert the following language and Table:</w:t>
      </w:r>
    </w:p>
    <w:p w14:paraId="093EE625" w14:textId="40C80CC4" w:rsidR="0034105F" w:rsidRDefault="00AE5B5A" w:rsidP="009A7CA1">
      <w:pPr>
        <w:spacing w:before="240" w:after="0"/>
        <w:ind w:left="720"/>
      </w:pPr>
      <w:r w:rsidRPr="00AE5B5A">
        <w:t>R404.1.3.2.3 Foundation Walls for Conventional Light Frame Wood Construction. Concrete and masonry foundation walls shall be permitted to be designed in accordance with the following Table ‘Foundation Walls for Conventional Light Frame Construction’ may be used:</w:t>
      </w:r>
    </w:p>
    <w:p w14:paraId="40F7F038" w14:textId="11241469" w:rsidR="00AE5B5A" w:rsidRDefault="00AE5B5A" w:rsidP="009A7CA1">
      <w:pPr>
        <w:spacing w:before="240" w:after="0"/>
        <w:ind w:left="720"/>
      </w:pPr>
      <w:r w:rsidRPr="00AE5B5A">
        <w:t>Table R404.1.3.2.3 - ‘Foundation Walls for Conventional Light Frame Construction’</w:t>
      </w:r>
    </w:p>
    <w:tbl>
      <w:tblPr>
        <w:tblStyle w:val="TableGrid"/>
        <w:tblW w:w="10620" w:type="dxa"/>
        <w:tblInd w:w="-635" w:type="dxa"/>
        <w:tblLayout w:type="fixed"/>
        <w:tblLook w:val="04A0" w:firstRow="1" w:lastRow="0" w:firstColumn="1" w:lastColumn="0" w:noHBand="0" w:noVBand="1"/>
      </w:tblPr>
      <w:tblGrid>
        <w:gridCol w:w="1075"/>
        <w:gridCol w:w="1251"/>
        <w:gridCol w:w="1028"/>
        <w:gridCol w:w="1045"/>
        <w:gridCol w:w="2010"/>
        <w:gridCol w:w="2331"/>
        <w:gridCol w:w="1880"/>
      </w:tblGrid>
      <w:tr w:rsidR="009A7CA1" w14:paraId="1A08741F" w14:textId="77777777" w:rsidTr="00771495">
        <w:trPr>
          <w:trHeight w:val="1058"/>
        </w:trPr>
        <w:tc>
          <w:tcPr>
            <w:tcW w:w="2326" w:type="dxa"/>
            <w:gridSpan w:val="2"/>
            <w:vMerge w:val="restart"/>
          </w:tcPr>
          <w:p w14:paraId="0EF93FFA" w14:textId="2D2C5594" w:rsidR="009A7CA1" w:rsidRDefault="009A7CA1" w:rsidP="009A7CA1">
            <w:pPr>
              <w:spacing w:before="240"/>
              <w:jc w:val="center"/>
            </w:pPr>
            <w:r>
              <w:t>Height of foundation wall (Net measured from top of basement slab to top of foundation wall) *</w:t>
            </w:r>
          </w:p>
        </w:tc>
        <w:tc>
          <w:tcPr>
            <w:tcW w:w="2073" w:type="dxa"/>
            <w:gridSpan w:val="2"/>
          </w:tcPr>
          <w:p w14:paraId="0B180129" w14:textId="65CF13EC" w:rsidR="009A7CA1" w:rsidRDefault="009A7CA1" w:rsidP="009A7CA1">
            <w:pPr>
              <w:spacing w:before="240"/>
              <w:jc w:val="center"/>
            </w:pPr>
            <w:r>
              <w:t>Thickness of Foundation walls</w:t>
            </w:r>
          </w:p>
        </w:tc>
        <w:tc>
          <w:tcPr>
            <w:tcW w:w="2010" w:type="dxa"/>
            <w:vMerge w:val="restart"/>
          </w:tcPr>
          <w:p w14:paraId="32F1433C" w14:textId="15E9591E" w:rsidR="009A7CA1" w:rsidRPr="005E5AF2" w:rsidRDefault="005E5AF2" w:rsidP="005E5AF2">
            <w:pPr>
              <w:spacing w:before="240"/>
              <w:jc w:val="center"/>
            </w:pPr>
            <w:r w:rsidRPr="005E5AF2">
              <w:t>Reinforcement</w:t>
            </w:r>
            <w:r>
              <w:t xml:space="preserve"> type and placement within Foundation Wall**</w:t>
            </w:r>
          </w:p>
        </w:tc>
        <w:tc>
          <w:tcPr>
            <w:tcW w:w="2331" w:type="dxa"/>
            <w:vMerge w:val="restart"/>
          </w:tcPr>
          <w:p w14:paraId="34D500EB" w14:textId="77777777" w:rsidR="009A7CA1" w:rsidRDefault="005E5AF2" w:rsidP="005E5AF2">
            <w:pPr>
              <w:spacing w:before="240"/>
              <w:jc w:val="center"/>
            </w:pPr>
            <w:r>
              <w:t>Reinforcement type and placement within Foundation Wall**</w:t>
            </w:r>
          </w:p>
          <w:p w14:paraId="6CAD1742" w14:textId="3C9D4BB0" w:rsidR="005E5AF2" w:rsidRDefault="005E5AF2" w:rsidP="005E5AF2">
            <w:pPr>
              <w:spacing w:before="240"/>
              <w:jc w:val="center"/>
            </w:pPr>
            <w:r>
              <w:t>(</w:t>
            </w:r>
            <w:r w:rsidR="005B0BF4">
              <w:t>Maximum</w:t>
            </w:r>
            <w:r>
              <w:t xml:space="preserve"> 12’ span between corners and supporting cross walls.)</w:t>
            </w:r>
          </w:p>
        </w:tc>
        <w:tc>
          <w:tcPr>
            <w:tcW w:w="1880" w:type="dxa"/>
            <w:vMerge w:val="restart"/>
          </w:tcPr>
          <w:p w14:paraId="47621D3C" w14:textId="627DBFDD" w:rsidR="009A7CA1" w:rsidRDefault="005E5AF2" w:rsidP="005E5AF2">
            <w:pPr>
              <w:spacing w:before="240"/>
              <w:jc w:val="center"/>
            </w:pPr>
            <w:r>
              <w:t>Type of Mortar</w:t>
            </w:r>
          </w:p>
        </w:tc>
      </w:tr>
      <w:tr w:rsidR="009A7CA1" w14:paraId="1F742C4C" w14:textId="77777777" w:rsidTr="00771495">
        <w:trPr>
          <w:trHeight w:val="1057"/>
        </w:trPr>
        <w:tc>
          <w:tcPr>
            <w:tcW w:w="2326" w:type="dxa"/>
            <w:gridSpan w:val="2"/>
            <w:vMerge/>
          </w:tcPr>
          <w:p w14:paraId="345C19EE" w14:textId="77777777" w:rsidR="009A7CA1" w:rsidRDefault="009A7CA1" w:rsidP="00916C45">
            <w:pPr>
              <w:spacing w:before="240"/>
            </w:pPr>
          </w:p>
        </w:tc>
        <w:tc>
          <w:tcPr>
            <w:tcW w:w="2073" w:type="dxa"/>
            <w:gridSpan w:val="2"/>
          </w:tcPr>
          <w:p w14:paraId="4C5B8E83" w14:textId="48E467A9" w:rsidR="009A7CA1" w:rsidRPr="005E5AF2" w:rsidRDefault="009A7CA1" w:rsidP="009A7CA1">
            <w:pPr>
              <w:spacing w:before="240"/>
              <w:jc w:val="center"/>
              <w:rPr>
                <w:u w:val="single"/>
              </w:rPr>
            </w:pPr>
            <w:r w:rsidRPr="005E5AF2">
              <w:rPr>
                <w:u w:val="single"/>
              </w:rPr>
              <w:t>Unit</w:t>
            </w:r>
          </w:p>
        </w:tc>
        <w:tc>
          <w:tcPr>
            <w:tcW w:w="2010" w:type="dxa"/>
            <w:vMerge/>
          </w:tcPr>
          <w:p w14:paraId="6F770344" w14:textId="77777777" w:rsidR="009A7CA1" w:rsidRDefault="009A7CA1" w:rsidP="00916C45">
            <w:pPr>
              <w:spacing w:before="240"/>
            </w:pPr>
          </w:p>
        </w:tc>
        <w:tc>
          <w:tcPr>
            <w:tcW w:w="2331" w:type="dxa"/>
            <w:vMerge/>
          </w:tcPr>
          <w:p w14:paraId="43C53313" w14:textId="77777777" w:rsidR="009A7CA1" w:rsidRDefault="009A7CA1" w:rsidP="00916C45">
            <w:pPr>
              <w:spacing w:before="240"/>
            </w:pPr>
          </w:p>
        </w:tc>
        <w:tc>
          <w:tcPr>
            <w:tcW w:w="1880" w:type="dxa"/>
            <w:vMerge/>
          </w:tcPr>
          <w:p w14:paraId="7F4544FA" w14:textId="77777777" w:rsidR="009A7CA1" w:rsidRDefault="009A7CA1" w:rsidP="00916C45">
            <w:pPr>
              <w:spacing w:before="240"/>
            </w:pPr>
          </w:p>
        </w:tc>
      </w:tr>
      <w:tr w:rsidR="00AE5B5A" w14:paraId="1EEB1053" w14:textId="77777777" w:rsidTr="00771495">
        <w:tc>
          <w:tcPr>
            <w:tcW w:w="1075" w:type="dxa"/>
          </w:tcPr>
          <w:p w14:paraId="3F96188D" w14:textId="7BFEEB64" w:rsidR="00AE5B5A" w:rsidRPr="00771495" w:rsidRDefault="00771495" w:rsidP="00771495">
            <w:pPr>
              <w:spacing w:before="240"/>
              <w:jc w:val="center"/>
              <w:rPr>
                <w:u w:val="single"/>
              </w:rPr>
            </w:pPr>
            <w:r>
              <w:rPr>
                <w:u w:val="single"/>
              </w:rPr>
              <w:t>Gross</w:t>
            </w:r>
          </w:p>
        </w:tc>
        <w:tc>
          <w:tcPr>
            <w:tcW w:w="1251" w:type="dxa"/>
          </w:tcPr>
          <w:p w14:paraId="515B7D43" w14:textId="5DDD6F7A" w:rsidR="00AE5B5A" w:rsidRPr="00771495" w:rsidRDefault="00771495" w:rsidP="00771495">
            <w:pPr>
              <w:spacing w:before="240"/>
              <w:jc w:val="center"/>
              <w:rPr>
                <w:u w:val="single"/>
              </w:rPr>
            </w:pPr>
            <w:r w:rsidRPr="00771495">
              <w:rPr>
                <w:u w:val="single"/>
              </w:rPr>
              <w:t>Net</w:t>
            </w:r>
          </w:p>
        </w:tc>
        <w:tc>
          <w:tcPr>
            <w:tcW w:w="1028" w:type="dxa"/>
          </w:tcPr>
          <w:p w14:paraId="7E4F6C22" w14:textId="4D54629E" w:rsidR="00AE5B5A" w:rsidRPr="00771495" w:rsidRDefault="00771495" w:rsidP="00771495">
            <w:pPr>
              <w:spacing w:before="240"/>
              <w:jc w:val="center"/>
              <w:rPr>
                <w:u w:val="single"/>
              </w:rPr>
            </w:pPr>
            <w:r w:rsidRPr="00771495">
              <w:rPr>
                <w:u w:val="single"/>
              </w:rPr>
              <w:t>Concrete</w:t>
            </w:r>
          </w:p>
        </w:tc>
        <w:tc>
          <w:tcPr>
            <w:tcW w:w="1045" w:type="dxa"/>
          </w:tcPr>
          <w:p w14:paraId="3DE14F6D" w14:textId="784FBDA9" w:rsidR="00AE5B5A" w:rsidRPr="00771495" w:rsidRDefault="00771495" w:rsidP="00771495">
            <w:pPr>
              <w:spacing w:before="240"/>
              <w:jc w:val="center"/>
              <w:rPr>
                <w:u w:val="single"/>
              </w:rPr>
            </w:pPr>
            <w:r w:rsidRPr="00771495">
              <w:rPr>
                <w:u w:val="single"/>
              </w:rPr>
              <w:t>Masonry</w:t>
            </w:r>
          </w:p>
        </w:tc>
        <w:tc>
          <w:tcPr>
            <w:tcW w:w="2010" w:type="dxa"/>
          </w:tcPr>
          <w:p w14:paraId="07B0EB82" w14:textId="48476FA8" w:rsidR="00AE5B5A" w:rsidRPr="00771495" w:rsidRDefault="00771495" w:rsidP="00771495">
            <w:pPr>
              <w:spacing w:before="240"/>
              <w:jc w:val="center"/>
              <w:rPr>
                <w:u w:val="single"/>
              </w:rPr>
            </w:pPr>
            <w:r w:rsidRPr="00771495">
              <w:rPr>
                <w:u w:val="single"/>
              </w:rPr>
              <w:t>Concrete</w:t>
            </w:r>
          </w:p>
        </w:tc>
        <w:tc>
          <w:tcPr>
            <w:tcW w:w="2331" w:type="dxa"/>
          </w:tcPr>
          <w:p w14:paraId="294784B6" w14:textId="5522624C" w:rsidR="00AE5B5A" w:rsidRPr="00771495" w:rsidRDefault="00771495" w:rsidP="00771495">
            <w:pPr>
              <w:spacing w:before="240"/>
              <w:jc w:val="center"/>
            </w:pPr>
            <w:r w:rsidRPr="00771495">
              <w:t>Masonry</w:t>
            </w:r>
          </w:p>
        </w:tc>
        <w:tc>
          <w:tcPr>
            <w:tcW w:w="1880" w:type="dxa"/>
          </w:tcPr>
          <w:p w14:paraId="37BB1395" w14:textId="1CA22EDD" w:rsidR="00AE5B5A" w:rsidRPr="00771495" w:rsidRDefault="00771495" w:rsidP="00771495">
            <w:pPr>
              <w:spacing w:before="240"/>
              <w:jc w:val="center"/>
            </w:pPr>
            <w:r w:rsidRPr="00771495">
              <w:t>Masonry</w:t>
            </w:r>
          </w:p>
        </w:tc>
      </w:tr>
      <w:tr w:rsidR="00AE5B5A" w14:paraId="442FDEAB" w14:textId="77777777" w:rsidTr="00771495">
        <w:tc>
          <w:tcPr>
            <w:tcW w:w="1075" w:type="dxa"/>
          </w:tcPr>
          <w:p w14:paraId="51409A01" w14:textId="1A6E4AA2" w:rsidR="00AE5B5A" w:rsidRPr="00771495" w:rsidRDefault="00771495" w:rsidP="00771495">
            <w:pPr>
              <w:spacing w:before="240"/>
              <w:jc w:val="center"/>
              <w:rPr>
                <w:u w:val="single"/>
              </w:rPr>
            </w:pPr>
            <w:r>
              <w:rPr>
                <w:u w:val="single"/>
              </w:rPr>
              <w:t>8”</w:t>
            </w:r>
          </w:p>
        </w:tc>
        <w:tc>
          <w:tcPr>
            <w:tcW w:w="1251" w:type="dxa"/>
          </w:tcPr>
          <w:p w14:paraId="3ADE07C9" w14:textId="0E360F56" w:rsidR="00AE5B5A" w:rsidRPr="00771495" w:rsidRDefault="00771495" w:rsidP="00771495">
            <w:pPr>
              <w:spacing w:before="240"/>
              <w:jc w:val="center"/>
              <w:rPr>
                <w:u w:val="single"/>
              </w:rPr>
            </w:pPr>
            <w:r>
              <w:rPr>
                <w:u w:val="single"/>
              </w:rPr>
              <w:t>7’ 8”</w:t>
            </w:r>
          </w:p>
        </w:tc>
        <w:tc>
          <w:tcPr>
            <w:tcW w:w="1028" w:type="dxa"/>
          </w:tcPr>
          <w:p w14:paraId="0B3513EE" w14:textId="56C746E0" w:rsidR="00AE5B5A" w:rsidRPr="00771495" w:rsidRDefault="00771495" w:rsidP="00771495">
            <w:pPr>
              <w:spacing w:before="240"/>
              <w:jc w:val="center"/>
              <w:rPr>
                <w:u w:val="single"/>
              </w:rPr>
            </w:pPr>
            <w:r>
              <w:rPr>
                <w:u w:val="single"/>
              </w:rPr>
              <w:t>7 ½”</w:t>
            </w:r>
          </w:p>
        </w:tc>
        <w:tc>
          <w:tcPr>
            <w:tcW w:w="1045" w:type="dxa"/>
          </w:tcPr>
          <w:p w14:paraId="72DD765E" w14:textId="4752C79C" w:rsidR="00AE5B5A" w:rsidRPr="00771495" w:rsidRDefault="00771495" w:rsidP="00771495">
            <w:pPr>
              <w:spacing w:before="240"/>
              <w:jc w:val="center"/>
              <w:rPr>
                <w:u w:val="single"/>
              </w:rPr>
            </w:pPr>
            <w:r>
              <w:rPr>
                <w:u w:val="single"/>
              </w:rPr>
              <w:t>8”</w:t>
            </w:r>
          </w:p>
        </w:tc>
        <w:tc>
          <w:tcPr>
            <w:tcW w:w="2010" w:type="dxa"/>
          </w:tcPr>
          <w:p w14:paraId="3512F7E0" w14:textId="4BFE5D5C" w:rsidR="00AE5B5A" w:rsidRPr="00771495" w:rsidRDefault="00771495" w:rsidP="00771495">
            <w:pPr>
              <w:spacing w:before="240"/>
              <w:jc w:val="center"/>
              <w:rPr>
                <w:u w:val="single"/>
              </w:rPr>
            </w:pPr>
            <w:r>
              <w:rPr>
                <w:u w:val="single"/>
              </w:rPr>
              <w:t>½” horizontal bars, placement in the middle, and near the top &amp; bottom- ½” bars @ 6’ max. vertically</w:t>
            </w:r>
          </w:p>
        </w:tc>
        <w:tc>
          <w:tcPr>
            <w:tcW w:w="2331" w:type="dxa"/>
          </w:tcPr>
          <w:p w14:paraId="33BC0C71" w14:textId="5B2E334A" w:rsidR="00AE5B5A" w:rsidRDefault="00771495" w:rsidP="00771495">
            <w:pPr>
              <w:spacing w:before="240"/>
              <w:jc w:val="center"/>
            </w:pPr>
            <w:r>
              <w:t xml:space="preserve">0.075 square inch bar 8’ </w:t>
            </w:r>
            <w:proofErr w:type="spellStart"/>
            <w:r>
              <w:t>o.c.</w:t>
            </w:r>
            <w:proofErr w:type="spellEnd"/>
            <w:r>
              <w:t xml:space="preserve"> vertically in fully grouted cells. If block is 12” nominal thickness, may be unreinforced.</w:t>
            </w:r>
          </w:p>
        </w:tc>
        <w:tc>
          <w:tcPr>
            <w:tcW w:w="1880" w:type="dxa"/>
          </w:tcPr>
          <w:p w14:paraId="50360A24" w14:textId="0228F75D" w:rsidR="00AE5B5A" w:rsidRDefault="00771495" w:rsidP="00771495">
            <w:pPr>
              <w:spacing w:before="240"/>
              <w:jc w:val="center"/>
            </w:pPr>
            <w:r>
              <w:t>Type M or S. Grout and Mortar shall meet provisions of Chapter 21 IBC</w:t>
            </w:r>
          </w:p>
        </w:tc>
      </w:tr>
      <w:tr w:rsidR="00AE5B5A" w14:paraId="7033BAC3" w14:textId="77777777" w:rsidTr="00771495">
        <w:tc>
          <w:tcPr>
            <w:tcW w:w="1075" w:type="dxa"/>
          </w:tcPr>
          <w:p w14:paraId="515E7E4C" w14:textId="5D01A589" w:rsidR="00AE5B5A" w:rsidRPr="00771495" w:rsidRDefault="00771495" w:rsidP="00771495">
            <w:pPr>
              <w:spacing w:before="240"/>
              <w:jc w:val="center"/>
              <w:rPr>
                <w:u w:val="single"/>
              </w:rPr>
            </w:pPr>
            <w:r>
              <w:rPr>
                <w:u w:val="single"/>
              </w:rPr>
              <w:t>9”</w:t>
            </w:r>
          </w:p>
        </w:tc>
        <w:tc>
          <w:tcPr>
            <w:tcW w:w="1251" w:type="dxa"/>
          </w:tcPr>
          <w:p w14:paraId="7B7E2CEB" w14:textId="0057D296" w:rsidR="00AE5B5A" w:rsidRPr="00771495" w:rsidRDefault="00771495" w:rsidP="00771495">
            <w:pPr>
              <w:spacing w:before="240"/>
              <w:jc w:val="center"/>
              <w:rPr>
                <w:u w:val="single"/>
              </w:rPr>
            </w:pPr>
            <w:r>
              <w:rPr>
                <w:u w:val="single"/>
              </w:rPr>
              <w:t>8’ 8”</w:t>
            </w:r>
          </w:p>
        </w:tc>
        <w:tc>
          <w:tcPr>
            <w:tcW w:w="1028" w:type="dxa"/>
          </w:tcPr>
          <w:p w14:paraId="27B9B260" w14:textId="354E624D" w:rsidR="00AE5B5A" w:rsidRPr="00771495" w:rsidRDefault="00771495" w:rsidP="00771495">
            <w:pPr>
              <w:spacing w:before="240"/>
              <w:jc w:val="center"/>
              <w:rPr>
                <w:u w:val="single"/>
              </w:rPr>
            </w:pPr>
            <w:r>
              <w:rPr>
                <w:u w:val="single"/>
              </w:rPr>
              <w:t>8”</w:t>
            </w:r>
          </w:p>
        </w:tc>
        <w:tc>
          <w:tcPr>
            <w:tcW w:w="1045" w:type="dxa"/>
          </w:tcPr>
          <w:p w14:paraId="328E3BAB" w14:textId="169F56BA" w:rsidR="00AE5B5A" w:rsidRPr="00771495" w:rsidRDefault="00771495" w:rsidP="00771495">
            <w:pPr>
              <w:spacing w:before="240"/>
              <w:jc w:val="center"/>
              <w:rPr>
                <w:u w:val="single"/>
              </w:rPr>
            </w:pPr>
            <w:r>
              <w:rPr>
                <w:u w:val="single"/>
              </w:rPr>
              <w:t>See Chapter 18 IBC</w:t>
            </w:r>
          </w:p>
        </w:tc>
        <w:tc>
          <w:tcPr>
            <w:tcW w:w="2010" w:type="dxa"/>
          </w:tcPr>
          <w:p w14:paraId="1593D22F" w14:textId="2C4F91A7" w:rsidR="00AE5B5A" w:rsidRPr="00771495" w:rsidRDefault="00771495" w:rsidP="00771495">
            <w:pPr>
              <w:spacing w:before="240"/>
              <w:jc w:val="center"/>
              <w:rPr>
                <w:u w:val="single"/>
              </w:rPr>
            </w:pPr>
            <w:r>
              <w:rPr>
                <w:u w:val="single"/>
              </w:rPr>
              <w:t xml:space="preserve">½” bars 2’ </w:t>
            </w:r>
            <w:proofErr w:type="spellStart"/>
            <w:r>
              <w:rPr>
                <w:u w:val="single"/>
              </w:rPr>
              <w:t>o.c.</w:t>
            </w:r>
            <w:proofErr w:type="spellEnd"/>
            <w:r>
              <w:rPr>
                <w:u w:val="single"/>
              </w:rPr>
              <w:t xml:space="preserve"> horizontally &amp; 20” vertically </w:t>
            </w:r>
            <w:proofErr w:type="spellStart"/>
            <w:r>
              <w:rPr>
                <w:u w:val="single"/>
              </w:rPr>
              <w:t>o.c.</w:t>
            </w:r>
            <w:proofErr w:type="spellEnd"/>
            <w:r>
              <w:rPr>
                <w:u w:val="single"/>
              </w:rPr>
              <w:t xml:space="preserve"> (5/8” bars 2’ </w:t>
            </w:r>
            <w:proofErr w:type="spellStart"/>
            <w:r>
              <w:rPr>
                <w:u w:val="single"/>
              </w:rPr>
              <w:t>o.c.</w:t>
            </w:r>
            <w:proofErr w:type="spellEnd"/>
            <w:r>
              <w:rPr>
                <w:u w:val="single"/>
              </w:rPr>
              <w:t xml:space="preserve"> horizontally &amp; 30” vertically </w:t>
            </w:r>
            <w:proofErr w:type="spellStart"/>
            <w:r>
              <w:rPr>
                <w:u w:val="single"/>
              </w:rPr>
              <w:t>o.c.</w:t>
            </w:r>
            <w:proofErr w:type="spellEnd"/>
          </w:p>
        </w:tc>
        <w:tc>
          <w:tcPr>
            <w:tcW w:w="2331" w:type="dxa"/>
          </w:tcPr>
          <w:p w14:paraId="62F31E5A" w14:textId="373A08BD" w:rsidR="00AE5B5A" w:rsidRDefault="005B0BF4" w:rsidP="00771495">
            <w:pPr>
              <w:spacing w:before="240"/>
              <w:jc w:val="center"/>
            </w:pPr>
            <w:r>
              <w:t>See Chapter 18 IBC</w:t>
            </w:r>
          </w:p>
        </w:tc>
        <w:tc>
          <w:tcPr>
            <w:tcW w:w="1880" w:type="dxa"/>
          </w:tcPr>
          <w:p w14:paraId="23E05543" w14:textId="1393C48F" w:rsidR="00AE5B5A" w:rsidRDefault="005B0BF4" w:rsidP="00771495">
            <w:pPr>
              <w:spacing w:before="240"/>
              <w:jc w:val="center"/>
            </w:pPr>
            <w:r>
              <w:t>Same as above</w:t>
            </w:r>
          </w:p>
        </w:tc>
      </w:tr>
      <w:tr w:rsidR="00AE5B5A" w14:paraId="7C592BA2" w14:textId="77777777" w:rsidTr="00771495">
        <w:tc>
          <w:tcPr>
            <w:tcW w:w="1075" w:type="dxa"/>
          </w:tcPr>
          <w:p w14:paraId="3EBAE51F" w14:textId="68FB37C6" w:rsidR="00AE5B5A" w:rsidRPr="00771495" w:rsidRDefault="00771495" w:rsidP="00771495">
            <w:pPr>
              <w:spacing w:before="240"/>
              <w:jc w:val="center"/>
              <w:rPr>
                <w:u w:val="single"/>
              </w:rPr>
            </w:pPr>
            <w:r>
              <w:rPr>
                <w:u w:val="single"/>
              </w:rPr>
              <w:t>1</w:t>
            </w:r>
            <w:r w:rsidR="005B0BF4">
              <w:rPr>
                <w:u w:val="single"/>
              </w:rPr>
              <w:t>0</w:t>
            </w:r>
            <w:r>
              <w:rPr>
                <w:u w:val="single"/>
              </w:rPr>
              <w:t>”</w:t>
            </w:r>
          </w:p>
        </w:tc>
        <w:tc>
          <w:tcPr>
            <w:tcW w:w="1251" w:type="dxa"/>
          </w:tcPr>
          <w:p w14:paraId="0B90B95D" w14:textId="3DB7A7D9" w:rsidR="00AE5B5A" w:rsidRPr="00771495" w:rsidRDefault="005B0BF4" w:rsidP="00771495">
            <w:pPr>
              <w:spacing w:before="240"/>
              <w:jc w:val="center"/>
              <w:rPr>
                <w:u w:val="single"/>
              </w:rPr>
            </w:pPr>
            <w:r>
              <w:rPr>
                <w:u w:val="single"/>
              </w:rPr>
              <w:t>9’ 8”</w:t>
            </w:r>
          </w:p>
        </w:tc>
        <w:tc>
          <w:tcPr>
            <w:tcW w:w="1028" w:type="dxa"/>
          </w:tcPr>
          <w:p w14:paraId="6D7A4E5C" w14:textId="5361EFA5" w:rsidR="00AE5B5A" w:rsidRPr="00771495" w:rsidRDefault="005B0BF4" w:rsidP="00771495">
            <w:pPr>
              <w:spacing w:before="240"/>
              <w:jc w:val="center"/>
              <w:rPr>
                <w:u w:val="single"/>
              </w:rPr>
            </w:pPr>
            <w:r>
              <w:rPr>
                <w:u w:val="single"/>
              </w:rPr>
              <w:t>8”</w:t>
            </w:r>
          </w:p>
        </w:tc>
        <w:tc>
          <w:tcPr>
            <w:tcW w:w="1045" w:type="dxa"/>
          </w:tcPr>
          <w:p w14:paraId="4A23D543" w14:textId="6A8FACFF" w:rsidR="00AE5B5A" w:rsidRPr="00771495" w:rsidRDefault="005B0BF4" w:rsidP="00771495">
            <w:pPr>
              <w:spacing w:before="240"/>
              <w:jc w:val="center"/>
              <w:rPr>
                <w:u w:val="single"/>
              </w:rPr>
            </w:pPr>
            <w:r>
              <w:rPr>
                <w:u w:val="single"/>
              </w:rPr>
              <w:t>Same as above</w:t>
            </w:r>
          </w:p>
        </w:tc>
        <w:tc>
          <w:tcPr>
            <w:tcW w:w="2010" w:type="dxa"/>
          </w:tcPr>
          <w:p w14:paraId="5BB9592F" w14:textId="5D07E171" w:rsidR="00AE5B5A" w:rsidRPr="00771495" w:rsidRDefault="005B0BF4" w:rsidP="00771495">
            <w:pPr>
              <w:spacing w:before="240"/>
              <w:jc w:val="center"/>
              <w:rPr>
                <w:u w:val="single"/>
              </w:rPr>
            </w:pPr>
            <w:r>
              <w:rPr>
                <w:u w:val="single"/>
              </w:rPr>
              <w:t>Same as above</w:t>
            </w:r>
          </w:p>
        </w:tc>
        <w:tc>
          <w:tcPr>
            <w:tcW w:w="2331" w:type="dxa"/>
          </w:tcPr>
          <w:p w14:paraId="709F44DA" w14:textId="6C18FDAF" w:rsidR="00AE5B5A" w:rsidRDefault="005B0BF4" w:rsidP="00771495">
            <w:pPr>
              <w:spacing w:before="240"/>
              <w:jc w:val="center"/>
            </w:pPr>
            <w:r>
              <w:t>Same as above</w:t>
            </w:r>
          </w:p>
        </w:tc>
        <w:tc>
          <w:tcPr>
            <w:tcW w:w="1880" w:type="dxa"/>
          </w:tcPr>
          <w:p w14:paraId="292144CD" w14:textId="206FBF49" w:rsidR="00AE5B5A" w:rsidRDefault="005B0BF4" w:rsidP="00771495">
            <w:pPr>
              <w:spacing w:before="240"/>
              <w:jc w:val="center"/>
            </w:pPr>
            <w:r>
              <w:t>Same as above</w:t>
            </w:r>
          </w:p>
        </w:tc>
      </w:tr>
      <w:tr w:rsidR="00AE5B5A" w14:paraId="05A25DD0" w14:textId="77777777" w:rsidTr="005B0BF4">
        <w:trPr>
          <w:trHeight w:val="602"/>
        </w:trPr>
        <w:tc>
          <w:tcPr>
            <w:tcW w:w="10620" w:type="dxa"/>
            <w:gridSpan w:val="7"/>
          </w:tcPr>
          <w:p w14:paraId="7E6862C7" w14:textId="0C599BE9" w:rsidR="00AE5B5A" w:rsidRDefault="005B0BF4" w:rsidP="005B0BF4">
            <w:pPr>
              <w:pStyle w:val="Default"/>
            </w:pPr>
            <w:r>
              <w:rPr>
                <w:sz w:val="20"/>
                <w:szCs w:val="20"/>
              </w:rPr>
              <w:t>*Concrete floor slab to be nominal 4”. If such floor slab is not provided prior to backfill, provide 1) 36” vertical #4 rebar embedded in the footing @ maximum 7’ O.C. spacing -and/or- 2) full depth nominal 2” depth x 4” width keyway in footing.</w:t>
            </w:r>
          </w:p>
        </w:tc>
      </w:tr>
      <w:tr w:rsidR="00AE5B5A" w14:paraId="4F54F548" w14:textId="77777777" w:rsidTr="005B0BF4">
        <w:trPr>
          <w:trHeight w:val="548"/>
        </w:trPr>
        <w:tc>
          <w:tcPr>
            <w:tcW w:w="10620" w:type="dxa"/>
            <w:gridSpan w:val="7"/>
          </w:tcPr>
          <w:p w14:paraId="720F4848" w14:textId="39ABAF77" w:rsidR="00AE5B5A" w:rsidRPr="005B0BF4" w:rsidRDefault="005B0BF4" w:rsidP="005B0BF4">
            <w:pPr>
              <w:pStyle w:val="Default"/>
              <w:rPr>
                <w:sz w:val="20"/>
                <w:szCs w:val="20"/>
              </w:rPr>
            </w:pPr>
            <w:r>
              <w:rPr>
                <w:sz w:val="20"/>
                <w:szCs w:val="20"/>
              </w:rPr>
              <w:t xml:space="preserve">** All reinforcement bars shall meet ASTM A6175 grade 40 minimum and be deformed. Placement of bars shall be in center of wall and meet the provisions of chapters 18, 19, and 21 of the International Building Code. </w:t>
            </w:r>
          </w:p>
        </w:tc>
      </w:tr>
      <w:tr w:rsidR="00AE5B5A" w14:paraId="7ACB3F10" w14:textId="77777777" w:rsidTr="005B0BF4">
        <w:trPr>
          <w:trHeight w:val="782"/>
        </w:trPr>
        <w:tc>
          <w:tcPr>
            <w:tcW w:w="10620" w:type="dxa"/>
            <w:gridSpan w:val="7"/>
          </w:tcPr>
          <w:p w14:paraId="5C59C444" w14:textId="66BE6024" w:rsidR="00AE5B5A" w:rsidRPr="005B0BF4" w:rsidRDefault="005B0BF4" w:rsidP="005B0BF4">
            <w:pPr>
              <w:pStyle w:val="Default"/>
              <w:rPr>
                <w:sz w:val="20"/>
                <w:szCs w:val="20"/>
              </w:rPr>
            </w:pPr>
            <w:r>
              <w:rPr>
                <w:sz w:val="20"/>
                <w:szCs w:val="20"/>
              </w:rPr>
              <w:t xml:space="preserve">NOTE: Cast in place concrete shall have a compressive strength of 3,000 lbs. @ 28 days. Footings shall contain continuous reinforcement of minimum 2 – ½” diameter rebar throughout. Placement of reinforcement and concrete shall meet the requirements of Chapter 19 of the International Building Code. </w:t>
            </w:r>
          </w:p>
        </w:tc>
      </w:tr>
      <w:tr w:rsidR="00AE5B5A" w14:paraId="72E62C44" w14:textId="77777777" w:rsidTr="005B0BF4">
        <w:trPr>
          <w:trHeight w:val="1268"/>
        </w:trPr>
        <w:tc>
          <w:tcPr>
            <w:tcW w:w="10620" w:type="dxa"/>
            <w:gridSpan w:val="7"/>
          </w:tcPr>
          <w:p w14:paraId="1905143D" w14:textId="30B52D0C" w:rsidR="00AE5B5A" w:rsidRPr="005B0BF4" w:rsidRDefault="005B0BF4" w:rsidP="005B0BF4">
            <w:pPr>
              <w:pStyle w:val="Default"/>
              <w:rPr>
                <w:sz w:val="20"/>
                <w:szCs w:val="20"/>
              </w:rPr>
            </w:pPr>
            <w:r>
              <w:rPr>
                <w:sz w:val="20"/>
                <w:szCs w:val="20"/>
              </w:rPr>
              <w:lastRenderedPageBreak/>
              <w:t>NOTE: Material used for backfilling shall be carefully placed granular soil of average or high permeability and shall be drained with an approved drainage system as prescribed in Section 1805.4 of the International Building Code. Where soils containing a high percentage of clay, fine silt or similar materials of low permeability or expansive soils are encountered or where backfill materials are not drained or an unusually high surcharge is to be placed adjacent to the wall, a specially designed wall shall be required.</w:t>
            </w:r>
          </w:p>
        </w:tc>
      </w:tr>
    </w:tbl>
    <w:p w14:paraId="7D43A440" w14:textId="6CD77AA5" w:rsidR="00916C45" w:rsidRDefault="00916C45" w:rsidP="00916C45">
      <w:pPr>
        <w:spacing w:before="240" w:after="0"/>
      </w:pPr>
      <w:r w:rsidRPr="00916C45">
        <w:t xml:space="preserve">Delete Code Section: IRC G2415.5.2 (404.2) </w:t>
      </w:r>
    </w:p>
    <w:p w14:paraId="185818F5" w14:textId="27011CEB" w:rsidR="00916C45" w:rsidRDefault="00916C45" w:rsidP="00916C45">
      <w:pPr>
        <w:spacing w:before="240" w:after="0"/>
      </w:pPr>
      <w:r w:rsidRPr="00916C45">
        <w:t>Replace with the following language:</w:t>
      </w:r>
    </w:p>
    <w:p w14:paraId="4C664192" w14:textId="77777777" w:rsidR="00916C45" w:rsidRDefault="00916C45" w:rsidP="00916C45">
      <w:pPr>
        <w:spacing w:before="240" w:after="0"/>
      </w:pPr>
      <w:r>
        <w:t xml:space="preserve">G2415.2 (404.2) CSST. </w:t>
      </w:r>
    </w:p>
    <w:p w14:paraId="70BF2BF9" w14:textId="04B0DA53" w:rsidR="00916C45" w:rsidRDefault="00916C45" w:rsidP="00916C45">
      <w:pPr>
        <w:spacing w:before="240" w:after="0"/>
        <w:ind w:left="720"/>
      </w:pPr>
      <w:r>
        <w:t>Only CSST with an Arc Resistant Jacket or Covering System listed in accordance with ANSI LC-1 (Optional Section 5.16)/CSA 6.26-2016 shall be installed in accordance with the terms of its approval, the conditions of listing, the manufactures instructions and this code including electrical bonding requirements in Section G2411.  CSST shall not be used for through wall penetrations from the point of delivery of the gas supply to the inside of the structure.  CSST shall not be installed in locations where subject to physical damage unless protected in an approved manner.</w:t>
      </w:r>
    </w:p>
    <w:p w14:paraId="27E336D6" w14:textId="3EA42A8D" w:rsidR="00220AC8" w:rsidRDefault="00220AC8" w:rsidP="00220AC8">
      <w:pPr>
        <w:spacing w:before="240" w:after="0"/>
        <w:rPr>
          <w:rFonts w:cstheme="minorHAnsi"/>
          <w:color w:val="000000"/>
        </w:rPr>
      </w:pPr>
      <w:r w:rsidRPr="000F091B">
        <w:rPr>
          <w:rFonts w:cstheme="minorHAnsi"/>
          <w:b/>
          <w:bCs/>
          <w:color w:val="000000"/>
          <w:sz w:val="28"/>
          <w:szCs w:val="28"/>
        </w:rPr>
        <w:t xml:space="preserve">Section </w:t>
      </w:r>
      <w:r>
        <w:rPr>
          <w:rFonts w:cstheme="minorHAnsi"/>
          <w:b/>
          <w:bCs/>
          <w:color w:val="000000"/>
          <w:sz w:val="28"/>
          <w:szCs w:val="28"/>
        </w:rPr>
        <w:t>5</w:t>
      </w:r>
      <w:r w:rsidRPr="000F091B">
        <w:rPr>
          <w:rFonts w:cstheme="minorHAnsi"/>
          <w:b/>
          <w:bCs/>
          <w:color w:val="000000"/>
          <w:sz w:val="28"/>
          <w:szCs w:val="28"/>
        </w:rPr>
        <w:t>.</w:t>
      </w:r>
      <w:r>
        <w:rPr>
          <w:rFonts w:cstheme="minorHAnsi"/>
          <w:color w:val="000000"/>
        </w:rPr>
        <w:t xml:space="preserve"> </w:t>
      </w:r>
      <w:r w:rsidRPr="003C1B3E">
        <w:rPr>
          <w:rFonts w:cstheme="minorHAnsi"/>
          <w:color w:val="000000"/>
        </w:rPr>
        <w:t>That</w:t>
      </w:r>
      <w:r w:rsidRPr="00C31666">
        <w:rPr>
          <w:rFonts w:cstheme="minorHAnsi"/>
          <w:color w:val="000000"/>
        </w:rPr>
        <w:t xml:space="preserve"> a certain document, being marked and designated </w:t>
      </w:r>
      <w:r w:rsidRPr="003E137C">
        <w:rPr>
          <w:rFonts w:cstheme="minorHAnsi"/>
          <w:color w:val="000000"/>
        </w:rPr>
        <w:t>as the</w:t>
      </w:r>
      <w:r w:rsidRPr="003E137C">
        <w:rPr>
          <w:rFonts w:cstheme="minorHAnsi"/>
          <w:b/>
          <w:bCs/>
          <w:color w:val="000000"/>
          <w:sz w:val="24"/>
          <w:szCs w:val="24"/>
        </w:rPr>
        <w:t xml:space="preserve"> </w:t>
      </w:r>
      <w:r w:rsidRPr="003E137C">
        <w:rPr>
          <w:rFonts w:cstheme="minorHAnsi"/>
          <w:b/>
          <w:bCs/>
          <w:i/>
          <w:iCs/>
          <w:color w:val="000000"/>
          <w:sz w:val="24"/>
          <w:szCs w:val="24"/>
        </w:rPr>
        <w:t xml:space="preserve">International </w:t>
      </w:r>
      <w:r>
        <w:rPr>
          <w:rFonts w:cstheme="minorHAnsi"/>
          <w:b/>
          <w:bCs/>
          <w:i/>
          <w:iCs/>
          <w:color w:val="000000"/>
          <w:sz w:val="24"/>
          <w:szCs w:val="24"/>
        </w:rPr>
        <w:t xml:space="preserve">Fire </w:t>
      </w:r>
      <w:r w:rsidRPr="003E137C">
        <w:rPr>
          <w:rFonts w:cstheme="minorHAnsi"/>
          <w:b/>
          <w:bCs/>
          <w:i/>
          <w:iCs/>
          <w:color w:val="000000"/>
          <w:sz w:val="24"/>
          <w:szCs w:val="24"/>
        </w:rPr>
        <w:t>Code</w:t>
      </w:r>
      <w:r w:rsidRPr="003E137C">
        <w:rPr>
          <w:rFonts w:cstheme="minorHAnsi"/>
          <w:b/>
          <w:bCs/>
          <w:color w:val="000000"/>
          <w:sz w:val="24"/>
          <w:szCs w:val="24"/>
        </w:rPr>
        <w:t>, 2018 edition</w:t>
      </w:r>
      <w:r>
        <w:rPr>
          <w:rFonts w:cstheme="minorHAnsi"/>
          <w:color w:val="000000"/>
        </w:rPr>
        <w:t xml:space="preserve">, </w:t>
      </w:r>
      <w:r w:rsidRPr="00C31666">
        <w:rPr>
          <w:rFonts w:cstheme="minorHAnsi"/>
          <w:color w:val="000000"/>
        </w:rPr>
        <w:t xml:space="preserve">published by the International Code Council, be and hereby is </w:t>
      </w:r>
      <w:r>
        <w:rPr>
          <w:rFonts w:cstheme="minorHAnsi"/>
          <w:color w:val="000000"/>
        </w:rPr>
        <w:t>adopted</w:t>
      </w:r>
      <w:r w:rsidRPr="00C31666">
        <w:rPr>
          <w:rFonts w:cstheme="minorHAnsi"/>
          <w:color w:val="000000"/>
        </w:rPr>
        <w:t xml:space="preserve"> as the </w:t>
      </w:r>
      <w:r>
        <w:rPr>
          <w:rFonts w:cstheme="minorHAnsi"/>
          <w:color w:val="000000"/>
        </w:rPr>
        <w:t>Fire</w:t>
      </w:r>
      <w:r w:rsidRPr="00C31666">
        <w:rPr>
          <w:rFonts w:cstheme="minorHAnsi"/>
          <w:color w:val="000000"/>
        </w:rPr>
        <w:t xml:space="preserve"> Code</w:t>
      </w:r>
      <w:r w:rsidRPr="00C31666">
        <w:rPr>
          <w:rFonts w:cstheme="minorHAnsi"/>
          <w:b/>
          <w:bCs/>
          <w:color w:val="000000"/>
        </w:rPr>
        <w:t xml:space="preserve"> </w:t>
      </w:r>
      <w:r w:rsidRPr="00C31666">
        <w:rPr>
          <w:rFonts w:cstheme="minorHAnsi"/>
          <w:color w:val="000000"/>
        </w:rPr>
        <w:t xml:space="preserve">for regulating </w:t>
      </w:r>
      <w:r>
        <w:rPr>
          <w:rFonts w:cstheme="minorHAnsi"/>
          <w:color w:val="000000"/>
        </w:rPr>
        <w:t>and governing the safeguarding of life and property from fire and explosion hazards arising from the storage, handling and use of hazardous substances, materials, and devices, and from conditions hazardous to life or property in the occupancy of buildings and premises. E</w:t>
      </w:r>
      <w:r w:rsidRPr="00C31666">
        <w:rPr>
          <w:rFonts w:cstheme="minorHAnsi"/>
          <w:color w:val="000000"/>
        </w:rPr>
        <w:t xml:space="preserve">ach and all the regulations, provisions, penalties, conditions, and terms of said </w:t>
      </w:r>
      <w:r>
        <w:rPr>
          <w:rFonts w:cstheme="minorHAnsi"/>
          <w:color w:val="000000"/>
        </w:rPr>
        <w:t>Fire</w:t>
      </w:r>
      <w:r w:rsidRPr="00C31666">
        <w:rPr>
          <w:rFonts w:cstheme="minorHAnsi"/>
          <w:color w:val="000000"/>
        </w:rPr>
        <w:t xml:space="preserve"> Code are hereby referred to, adopted, and made a part hereof, as if fully set out in this legislation.</w:t>
      </w:r>
    </w:p>
    <w:p w14:paraId="7C86DEBA" w14:textId="3BD0E9B3" w:rsidR="00DF0D8D" w:rsidRDefault="003C1B3E" w:rsidP="00DF0D8D">
      <w:pPr>
        <w:spacing w:before="240" w:after="0"/>
        <w:rPr>
          <w:rFonts w:ascii="Calibri" w:hAnsi="Calibri" w:cs="Calibri"/>
          <w:color w:val="000000"/>
        </w:rPr>
      </w:pPr>
      <w:r w:rsidRPr="000F091B">
        <w:rPr>
          <w:rFonts w:ascii="Calibri" w:hAnsi="Calibri" w:cs="Calibri"/>
          <w:b/>
          <w:bCs/>
          <w:color w:val="000000"/>
          <w:sz w:val="28"/>
          <w:szCs w:val="28"/>
        </w:rPr>
        <w:t xml:space="preserve">Section </w:t>
      </w:r>
      <w:r w:rsidR="00220AC8">
        <w:rPr>
          <w:rFonts w:ascii="Calibri" w:hAnsi="Calibri" w:cs="Calibri"/>
          <w:b/>
          <w:bCs/>
          <w:color w:val="000000"/>
          <w:sz w:val="28"/>
          <w:szCs w:val="28"/>
        </w:rPr>
        <w:t>6</w:t>
      </w:r>
      <w:r>
        <w:rPr>
          <w:rFonts w:ascii="Calibri" w:hAnsi="Calibri" w:cs="Calibri"/>
          <w:color w:val="000000"/>
        </w:rPr>
        <w:t xml:space="preserve">. </w:t>
      </w:r>
      <w:r w:rsidR="00DF0D8D" w:rsidRPr="00DF0D8D">
        <w:rPr>
          <w:rFonts w:ascii="Calibri" w:hAnsi="Calibri" w:cs="Calibri"/>
          <w:color w:val="000000"/>
        </w:rPr>
        <w:t xml:space="preserve">That a certain document, being marked, designated, and adopted by the State of Iowa as the </w:t>
      </w:r>
      <w:r w:rsidR="007C63F2" w:rsidRPr="000F091B">
        <w:rPr>
          <w:rFonts w:ascii="Calibri" w:hAnsi="Calibri" w:cs="Calibri"/>
          <w:b/>
          <w:bCs/>
          <w:color w:val="000000"/>
          <w:sz w:val="24"/>
          <w:szCs w:val="24"/>
        </w:rPr>
        <w:t>State Electrical Code</w:t>
      </w:r>
      <w:r w:rsidR="007C63F2">
        <w:rPr>
          <w:rFonts w:ascii="Calibri" w:hAnsi="Calibri" w:cs="Calibri"/>
          <w:color w:val="000000"/>
        </w:rPr>
        <w:t xml:space="preserve">, </w:t>
      </w:r>
      <w:r w:rsidR="00DF0D8D" w:rsidRPr="00DF0D8D">
        <w:rPr>
          <w:rFonts w:ascii="Calibri" w:hAnsi="Calibri" w:cs="Calibri"/>
          <w:i/>
          <w:iCs/>
          <w:color w:val="000000"/>
        </w:rPr>
        <w:t>National Electrical Code</w:t>
      </w:r>
      <w:r w:rsidR="00DF0D8D" w:rsidRPr="00DF0D8D">
        <w:rPr>
          <w:rFonts w:ascii="Calibri" w:hAnsi="Calibri" w:cs="Calibri"/>
          <w:color w:val="000000"/>
        </w:rPr>
        <w:t xml:space="preserve">, published by the National Fire Protection Association, 1 </w:t>
      </w:r>
      <w:proofErr w:type="spellStart"/>
      <w:r w:rsidR="00DF0D8D" w:rsidRPr="00DF0D8D">
        <w:rPr>
          <w:rFonts w:ascii="Calibri" w:hAnsi="Calibri" w:cs="Calibri"/>
          <w:color w:val="000000"/>
        </w:rPr>
        <w:t>Batterymarch</w:t>
      </w:r>
      <w:proofErr w:type="spellEnd"/>
      <w:r w:rsidR="00DF0D8D" w:rsidRPr="00DF0D8D">
        <w:rPr>
          <w:rFonts w:ascii="Calibri" w:hAnsi="Calibri" w:cs="Calibri"/>
          <w:color w:val="000000"/>
        </w:rPr>
        <w:t xml:space="preserve"> Park, Quincy, MA 02169-7471, be and is hereby </w:t>
      </w:r>
      <w:r w:rsidR="005B24EA">
        <w:rPr>
          <w:rFonts w:ascii="Calibri" w:hAnsi="Calibri" w:cs="Calibri"/>
          <w:color w:val="000000"/>
        </w:rPr>
        <w:t xml:space="preserve">adopted </w:t>
      </w:r>
      <w:r w:rsidR="00DF0D8D" w:rsidRPr="00DF0D8D">
        <w:rPr>
          <w:rFonts w:ascii="Calibri" w:hAnsi="Calibri" w:cs="Calibri"/>
          <w:color w:val="000000"/>
        </w:rPr>
        <w:t>as the Electrical Code</w:t>
      </w:r>
      <w:r w:rsidR="00DF0D8D" w:rsidRPr="00DF0D8D">
        <w:rPr>
          <w:rFonts w:ascii="Calibri" w:hAnsi="Calibri" w:cs="Calibri"/>
          <w:b/>
          <w:bCs/>
          <w:color w:val="000000"/>
        </w:rPr>
        <w:t xml:space="preserve">, </w:t>
      </w:r>
      <w:r w:rsidR="00DF0D8D" w:rsidRPr="00DF0D8D">
        <w:rPr>
          <w:rFonts w:ascii="Calibri" w:hAnsi="Calibri" w:cs="Calibri"/>
          <w:color w:val="000000"/>
        </w:rPr>
        <w:t>for regulating and governing the erection, installation, alteration, repair, relocation, replacement, addition to, use, or maintenance of electrical systems as herein provided; and each and all of the regulations, provisions, penalties, conditions and terms of said electrical code are hereby referred to, adopted, and made a part hereof, as if fully set out in this legislation</w:t>
      </w:r>
      <w:r w:rsidR="00DF0D8D">
        <w:rPr>
          <w:rFonts w:ascii="Calibri" w:hAnsi="Calibri" w:cs="Calibri"/>
          <w:color w:val="000000"/>
        </w:rPr>
        <w:t>.</w:t>
      </w:r>
    </w:p>
    <w:p w14:paraId="37A52D5C" w14:textId="650090C5" w:rsidR="00A151D9" w:rsidRDefault="003C1B3E" w:rsidP="00A151D9">
      <w:pPr>
        <w:spacing w:before="240" w:after="0"/>
        <w:rPr>
          <w:rFonts w:ascii="Calibri" w:hAnsi="Calibri" w:cs="Calibri"/>
          <w:color w:val="000000"/>
        </w:rPr>
      </w:pPr>
      <w:r w:rsidRPr="000F091B">
        <w:rPr>
          <w:rFonts w:ascii="Calibri" w:hAnsi="Calibri" w:cs="Calibri"/>
          <w:b/>
          <w:bCs/>
          <w:color w:val="000000"/>
          <w:sz w:val="28"/>
          <w:szCs w:val="28"/>
        </w:rPr>
        <w:t xml:space="preserve">Section </w:t>
      </w:r>
      <w:r w:rsidR="00220AC8">
        <w:rPr>
          <w:rFonts w:ascii="Calibri" w:hAnsi="Calibri" w:cs="Calibri"/>
          <w:b/>
          <w:bCs/>
          <w:color w:val="000000"/>
          <w:sz w:val="28"/>
          <w:szCs w:val="28"/>
        </w:rPr>
        <w:t>7</w:t>
      </w:r>
      <w:r w:rsidRPr="000F091B">
        <w:rPr>
          <w:rFonts w:ascii="Calibri" w:hAnsi="Calibri" w:cs="Calibri"/>
          <w:b/>
          <w:bCs/>
          <w:color w:val="000000"/>
          <w:sz w:val="28"/>
          <w:szCs w:val="28"/>
        </w:rPr>
        <w:t>.</w:t>
      </w:r>
      <w:r>
        <w:rPr>
          <w:rFonts w:ascii="Calibri" w:hAnsi="Calibri" w:cs="Calibri"/>
          <w:color w:val="000000"/>
        </w:rPr>
        <w:t xml:space="preserve"> </w:t>
      </w:r>
      <w:r w:rsidR="00A151D9" w:rsidRPr="00A151D9">
        <w:rPr>
          <w:rFonts w:ascii="Calibri" w:hAnsi="Calibri" w:cs="Calibri"/>
          <w:color w:val="000000"/>
        </w:rPr>
        <w:t>That a certain document, being marked and designated</w:t>
      </w:r>
      <w:r w:rsidR="007C63F2">
        <w:rPr>
          <w:rFonts w:ascii="Calibri" w:hAnsi="Calibri" w:cs="Calibri"/>
          <w:color w:val="000000"/>
        </w:rPr>
        <w:t>,</w:t>
      </w:r>
      <w:r w:rsidR="00A151D9" w:rsidRPr="00A151D9">
        <w:rPr>
          <w:rFonts w:ascii="Calibri" w:hAnsi="Calibri" w:cs="Calibri"/>
          <w:color w:val="000000"/>
        </w:rPr>
        <w:t xml:space="preserve"> </w:t>
      </w:r>
      <w:r w:rsidR="007C63F2" w:rsidRPr="00DF0D8D">
        <w:rPr>
          <w:rFonts w:ascii="Calibri" w:hAnsi="Calibri" w:cs="Calibri"/>
          <w:color w:val="000000"/>
        </w:rPr>
        <w:t xml:space="preserve">and adopted by the State of Iowa as the </w:t>
      </w:r>
      <w:r w:rsidR="007C63F2" w:rsidRPr="000F091B">
        <w:rPr>
          <w:rFonts w:ascii="Calibri" w:hAnsi="Calibri" w:cs="Calibri"/>
          <w:b/>
          <w:bCs/>
          <w:i/>
          <w:iCs/>
          <w:color w:val="000000"/>
          <w:sz w:val="24"/>
          <w:szCs w:val="24"/>
        </w:rPr>
        <w:t>State Plumbing Code</w:t>
      </w:r>
      <w:r w:rsidR="007C63F2">
        <w:rPr>
          <w:rFonts w:ascii="Calibri" w:hAnsi="Calibri" w:cs="Calibri"/>
          <w:color w:val="000000"/>
        </w:rPr>
        <w:t>, the</w:t>
      </w:r>
      <w:r w:rsidR="00A151D9" w:rsidRPr="00A151D9">
        <w:rPr>
          <w:rFonts w:ascii="Calibri" w:hAnsi="Calibri" w:cs="Calibri"/>
          <w:color w:val="000000"/>
        </w:rPr>
        <w:t xml:space="preserve"> </w:t>
      </w:r>
      <w:r w:rsidR="00A151D9" w:rsidRPr="00A151D9">
        <w:rPr>
          <w:rFonts w:ascii="Calibri" w:hAnsi="Calibri" w:cs="Calibri"/>
          <w:i/>
          <w:iCs/>
          <w:color w:val="000000"/>
        </w:rPr>
        <w:t>Uniform Plumbing Code</w:t>
      </w:r>
      <w:r w:rsidR="00A151D9" w:rsidRPr="00A151D9">
        <w:rPr>
          <w:rFonts w:ascii="Calibri" w:hAnsi="Calibri" w:cs="Calibri"/>
          <w:color w:val="000000"/>
        </w:rPr>
        <w:t>, as published by the International Association of Plumbing and Mechanical Officials, 4755 E. Philadelphia Street, Ontario, CA 91761-2816, be and is hereby adopted as the Plumbing Code</w:t>
      </w:r>
      <w:r w:rsidR="005B24EA">
        <w:rPr>
          <w:rFonts w:ascii="Calibri" w:hAnsi="Calibri" w:cs="Calibri"/>
          <w:color w:val="000000"/>
        </w:rPr>
        <w:t>,</w:t>
      </w:r>
      <w:r w:rsidR="00A151D9" w:rsidRPr="00A151D9">
        <w:rPr>
          <w:rFonts w:ascii="Calibri" w:hAnsi="Calibri" w:cs="Calibri"/>
          <w:b/>
          <w:bCs/>
          <w:color w:val="000000"/>
        </w:rPr>
        <w:t xml:space="preserve"> </w:t>
      </w:r>
      <w:r w:rsidR="00A151D9" w:rsidRPr="00A151D9">
        <w:rPr>
          <w:rFonts w:ascii="Calibri" w:hAnsi="Calibri" w:cs="Calibri"/>
          <w:color w:val="000000"/>
        </w:rPr>
        <w:t>for regulating and governing the erection, installation, alteration, repair, relocation, replacement, addition to, use, or maintenance of plumbing systems as herein provided; and each and all of the regulations, provisions, penalties, conditions and terms of said Plumbing Code are hereby referred to, adopted, and made a part hereof, as if fully set out in this legislatio</w:t>
      </w:r>
      <w:r w:rsidR="007C63F2">
        <w:rPr>
          <w:rFonts w:ascii="Calibri" w:hAnsi="Calibri" w:cs="Calibri"/>
          <w:color w:val="000000"/>
        </w:rPr>
        <w:t>n</w:t>
      </w:r>
      <w:r w:rsidR="00A151D9" w:rsidRPr="00A151D9">
        <w:rPr>
          <w:rFonts w:ascii="Calibri" w:hAnsi="Calibri" w:cs="Calibri"/>
          <w:color w:val="000000"/>
        </w:rPr>
        <w:t>.</w:t>
      </w:r>
    </w:p>
    <w:p w14:paraId="72DD32DD" w14:textId="6C47AFD9" w:rsidR="007C63F2" w:rsidRPr="00C31666" w:rsidRDefault="003C1B3E" w:rsidP="00672620">
      <w:pPr>
        <w:spacing w:before="240" w:after="0"/>
        <w:rPr>
          <w:rFonts w:cstheme="minorHAnsi"/>
          <w:color w:val="000000"/>
        </w:rPr>
      </w:pPr>
      <w:r w:rsidRPr="000F091B">
        <w:rPr>
          <w:rFonts w:ascii="Calibri" w:hAnsi="Calibri" w:cs="Calibri"/>
          <w:b/>
          <w:bCs/>
          <w:color w:val="000000"/>
          <w:sz w:val="28"/>
          <w:szCs w:val="28"/>
        </w:rPr>
        <w:lastRenderedPageBreak/>
        <w:t xml:space="preserve">Section </w:t>
      </w:r>
      <w:r w:rsidR="00220AC8">
        <w:rPr>
          <w:rFonts w:ascii="Calibri" w:hAnsi="Calibri" w:cs="Calibri"/>
          <w:b/>
          <w:bCs/>
          <w:color w:val="000000"/>
          <w:sz w:val="28"/>
          <w:szCs w:val="28"/>
        </w:rPr>
        <w:t>8</w:t>
      </w:r>
      <w:r w:rsidRPr="000F091B">
        <w:rPr>
          <w:rFonts w:ascii="Calibri" w:hAnsi="Calibri" w:cs="Calibri"/>
          <w:b/>
          <w:bCs/>
          <w:color w:val="000000"/>
          <w:sz w:val="28"/>
          <w:szCs w:val="28"/>
        </w:rPr>
        <w:t>.</w:t>
      </w:r>
      <w:r>
        <w:rPr>
          <w:rFonts w:ascii="Calibri" w:hAnsi="Calibri" w:cs="Calibri"/>
          <w:color w:val="000000"/>
        </w:rPr>
        <w:t xml:space="preserve"> </w:t>
      </w:r>
      <w:r w:rsidR="00672620" w:rsidRPr="00C31666">
        <w:rPr>
          <w:rFonts w:cstheme="minorHAnsi"/>
          <w:color w:val="000000"/>
        </w:rPr>
        <w:t>That a certain document, being marked and designated</w:t>
      </w:r>
      <w:r w:rsidR="0055025A" w:rsidRPr="00C31666">
        <w:rPr>
          <w:rFonts w:cstheme="minorHAnsi"/>
          <w:color w:val="000000"/>
        </w:rPr>
        <w:t xml:space="preserve">, and adopted by the State of Iowa as the </w:t>
      </w:r>
      <w:r w:rsidR="0055025A" w:rsidRPr="000F091B">
        <w:rPr>
          <w:rFonts w:cstheme="minorHAnsi"/>
          <w:b/>
          <w:bCs/>
          <w:color w:val="000000"/>
          <w:sz w:val="24"/>
          <w:szCs w:val="24"/>
        </w:rPr>
        <w:t>State Mechanical Code</w:t>
      </w:r>
      <w:r w:rsidR="0055025A" w:rsidRPr="00C31666">
        <w:rPr>
          <w:rFonts w:cstheme="minorHAnsi"/>
          <w:i/>
          <w:iCs/>
          <w:color w:val="000000"/>
        </w:rPr>
        <w:t>,</w:t>
      </w:r>
      <w:r w:rsidR="00672620" w:rsidRPr="00C31666">
        <w:rPr>
          <w:rFonts w:cstheme="minorHAnsi"/>
          <w:color w:val="000000"/>
        </w:rPr>
        <w:t xml:space="preserve"> the </w:t>
      </w:r>
      <w:r w:rsidR="00672620" w:rsidRPr="00C31666">
        <w:rPr>
          <w:rFonts w:cstheme="minorHAnsi"/>
          <w:i/>
          <w:iCs/>
          <w:color w:val="000000"/>
        </w:rPr>
        <w:t>International Mechanical Code</w:t>
      </w:r>
      <w:r w:rsidR="00672620" w:rsidRPr="00C31666">
        <w:rPr>
          <w:rFonts w:cstheme="minorHAnsi"/>
          <w:color w:val="000000"/>
        </w:rPr>
        <w:t>, as published by the International Code Council, be and is hereby adopted as the Mechanical Code</w:t>
      </w:r>
      <w:r w:rsidR="00672620" w:rsidRPr="00C31666">
        <w:rPr>
          <w:rFonts w:cstheme="minorHAnsi"/>
          <w:b/>
          <w:bCs/>
          <w:color w:val="000000"/>
        </w:rPr>
        <w:t xml:space="preserve"> </w:t>
      </w:r>
      <w:r w:rsidR="00672620" w:rsidRPr="00C31666">
        <w:rPr>
          <w:rFonts w:cstheme="minorHAnsi"/>
          <w:color w:val="000000"/>
        </w:rPr>
        <w:t>for regulating and governing the design, construction, quality of materials, erection, installation, alteration, repair, location, relocation, replacement, addition to, use or maintenance of mechanical systems as herein provided; providing for the issuance of permits and collection of fees therefor; and each and all of the regulations, provisions, penalties, conditions and terms of said Mechanical Code are hereby referred to, adopted, and made a part hereof, as if fully set out in this legislation.</w:t>
      </w:r>
    </w:p>
    <w:p w14:paraId="55E5C1B9" w14:textId="39199955" w:rsidR="0055025A" w:rsidRPr="00C31666" w:rsidRDefault="003C1B3E" w:rsidP="0055025A">
      <w:pPr>
        <w:spacing w:before="240" w:after="0"/>
        <w:rPr>
          <w:rFonts w:cstheme="minorHAnsi"/>
          <w:color w:val="000000"/>
        </w:rPr>
      </w:pPr>
      <w:r w:rsidRPr="000F091B">
        <w:rPr>
          <w:rFonts w:cstheme="minorHAnsi"/>
          <w:b/>
          <w:bCs/>
          <w:color w:val="000000"/>
          <w:sz w:val="28"/>
          <w:szCs w:val="28"/>
        </w:rPr>
        <w:t xml:space="preserve">Section </w:t>
      </w:r>
      <w:r w:rsidR="00220AC8">
        <w:rPr>
          <w:rFonts w:cstheme="minorHAnsi"/>
          <w:b/>
          <w:bCs/>
          <w:color w:val="000000"/>
          <w:sz w:val="28"/>
          <w:szCs w:val="28"/>
        </w:rPr>
        <w:t>9</w:t>
      </w:r>
      <w:r>
        <w:rPr>
          <w:rFonts w:cstheme="minorHAnsi"/>
          <w:color w:val="000000"/>
        </w:rPr>
        <w:t xml:space="preserve">. </w:t>
      </w:r>
      <w:r w:rsidR="00AA3A67" w:rsidRPr="00C31666">
        <w:rPr>
          <w:rFonts w:cstheme="minorHAnsi"/>
          <w:color w:val="000000"/>
        </w:rPr>
        <w:t xml:space="preserve">That a certain document, being marked and designated, and adopted by the State of Iowa as the </w:t>
      </w:r>
      <w:r w:rsidR="00AA3A67" w:rsidRPr="000F091B">
        <w:rPr>
          <w:rFonts w:cstheme="minorHAnsi"/>
          <w:b/>
          <w:bCs/>
          <w:color w:val="000000"/>
          <w:sz w:val="24"/>
          <w:szCs w:val="24"/>
        </w:rPr>
        <w:t>State Energy Code</w:t>
      </w:r>
      <w:r w:rsidR="00AA3A67">
        <w:rPr>
          <w:rFonts w:cstheme="minorHAnsi"/>
          <w:i/>
          <w:iCs/>
          <w:color w:val="000000"/>
        </w:rPr>
        <w:t>, the</w:t>
      </w:r>
      <w:r w:rsidR="00AA3A67" w:rsidRPr="00C31666">
        <w:rPr>
          <w:rFonts w:cstheme="minorHAnsi"/>
          <w:i/>
          <w:iCs/>
          <w:color w:val="000000"/>
        </w:rPr>
        <w:t xml:space="preserve"> </w:t>
      </w:r>
      <w:r w:rsidR="0055025A" w:rsidRPr="00C31666">
        <w:rPr>
          <w:rFonts w:cstheme="minorHAnsi"/>
          <w:i/>
          <w:iCs/>
          <w:color w:val="000000"/>
        </w:rPr>
        <w:t>International Energy Conservation Code</w:t>
      </w:r>
      <w:r w:rsidR="0055025A" w:rsidRPr="00C31666">
        <w:rPr>
          <w:rFonts w:cstheme="minorHAnsi"/>
          <w:color w:val="000000"/>
        </w:rPr>
        <w:t xml:space="preserve">, as published by the International Code Council, be and hereby is </w:t>
      </w:r>
      <w:r w:rsidR="005B24EA">
        <w:rPr>
          <w:rFonts w:cstheme="minorHAnsi"/>
          <w:color w:val="000000"/>
        </w:rPr>
        <w:t>adopted</w:t>
      </w:r>
      <w:r w:rsidR="0055025A" w:rsidRPr="00C31666">
        <w:rPr>
          <w:rFonts w:cstheme="minorHAnsi"/>
          <w:color w:val="000000"/>
        </w:rPr>
        <w:t xml:space="preserve"> as the Energy Code for regulating energy conservation requirements for all aspects of energy uses in both commercial and residential construction including heating and ventilating, lighting water heating and power usage for appliances and building systems as herein provided; and each and all of the regulations, provisions, penalties, conditions and terms of said Energy Code are hereby referred to, adopted, and made a part hereof, as if fully set out in this legislation</w:t>
      </w:r>
      <w:r>
        <w:rPr>
          <w:rFonts w:cstheme="minorHAnsi"/>
          <w:color w:val="000000"/>
        </w:rPr>
        <w:t>.</w:t>
      </w:r>
    </w:p>
    <w:p w14:paraId="52311476" w14:textId="16F08646" w:rsidR="00C31666" w:rsidRPr="00C31666" w:rsidRDefault="0055025A" w:rsidP="0055025A">
      <w:pPr>
        <w:spacing w:before="240" w:after="0"/>
        <w:rPr>
          <w:rFonts w:cstheme="minorHAnsi"/>
          <w:color w:val="000000"/>
        </w:rPr>
      </w:pPr>
      <w:r w:rsidRPr="000F091B">
        <w:rPr>
          <w:rFonts w:cstheme="minorHAnsi"/>
          <w:b/>
          <w:bCs/>
          <w:color w:val="000000"/>
          <w:sz w:val="28"/>
          <w:szCs w:val="28"/>
        </w:rPr>
        <w:t xml:space="preserve">Section </w:t>
      </w:r>
      <w:r w:rsidR="00220AC8">
        <w:rPr>
          <w:rFonts w:cstheme="minorHAnsi"/>
          <w:b/>
          <w:bCs/>
          <w:color w:val="000000"/>
          <w:sz w:val="28"/>
          <w:szCs w:val="28"/>
        </w:rPr>
        <w:t>10</w:t>
      </w:r>
      <w:r w:rsidRPr="003C1B3E">
        <w:rPr>
          <w:rFonts w:cstheme="minorHAnsi"/>
          <w:color w:val="000000"/>
        </w:rPr>
        <w:t>. That</w:t>
      </w:r>
      <w:r w:rsidRPr="00C31666">
        <w:rPr>
          <w:rFonts w:cstheme="minorHAnsi"/>
          <w:color w:val="000000"/>
        </w:rPr>
        <w:t xml:space="preserve"> a certain document, being marked and designated as the </w:t>
      </w:r>
      <w:r w:rsidRPr="000F091B">
        <w:rPr>
          <w:rFonts w:cstheme="minorHAnsi"/>
          <w:b/>
          <w:bCs/>
          <w:i/>
          <w:iCs/>
          <w:color w:val="000000"/>
          <w:sz w:val="24"/>
          <w:szCs w:val="24"/>
        </w:rPr>
        <w:t>National Fuel Gas Code</w:t>
      </w:r>
      <w:r w:rsidRPr="000F091B">
        <w:rPr>
          <w:rFonts w:cstheme="minorHAnsi"/>
          <w:b/>
          <w:bCs/>
          <w:color w:val="000000"/>
          <w:sz w:val="24"/>
          <w:szCs w:val="24"/>
        </w:rPr>
        <w:t>, 201</w:t>
      </w:r>
      <w:r w:rsidR="00C31666" w:rsidRPr="000F091B">
        <w:rPr>
          <w:rFonts w:cstheme="minorHAnsi"/>
          <w:b/>
          <w:bCs/>
          <w:color w:val="000000"/>
          <w:sz w:val="24"/>
          <w:szCs w:val="24"/>
        </w:rPr>
        <w:t>8</w:t>
      </w:r>
      <w:r w:rsidRPr="000F091B">
        <w:rPr>
          <w:rFonts w:cstheme="minorHAnsi"/>
          <w:b/>
          <w:bCs/>
          <w:color w:val="000000"/>
          <w:sz w:val="24"/>
          <w:szCs w:val="24"/>
        </w:rPr>
        <w:t xml:space="preserve"> edition, </w:t>
      </w:r>
      <w:r w:rsidRPr="00C31666">
        <w:rPr>
          <w:rFonts w:cstheme="minorHAnsi"/>
          <w:color w:val="000000"/>
        </w:rPr>
        <w:t xml:space="preserve">as published by the National Fire Protection Association®, published by the National Fire Protection Association, 1 </w:t>
      </w:r>
      <w:proofErr w:type="spellStart"/>
      <w:r w:rsidRPr="00C31666">
        <w:rPr>
          <w:rFonts w:cstheme="minorHAnsi"/>
          <w:color w:val="000000"/>
        </w:rPr>
        <w:t>Batterymarch</w:t>
      </w:r>
      <w:proofErr w:type="spellEnd"/>
      <w:r w:rsidRPr="00C31666">
        <w:rPr>
          <w:rFonts w:cstheme="minorHAnsi"/>
          <w:color w:val="000000"/>
        </w:rPr>
        <w:t xml:space="preserve"> Park, Quincy, MA 02169-7471, be and is hereby adopted as the Fuel Gas Code</w:t>
      </w:r>
      <w:r w:rsidRPr="00C31666">
        <w:rPr>
          <w:rFonts w:cstheme="minorHAnsi"/>
          <w:b/>
          <w:bCs/>
          <w:color w:val="000000"/>
        </w:rPr>
        <w:t xml:space="preserve"> </w:t>
      </w:r>
      <w:r w:rsidRPr="00C31666">
        <w:rPr>
          <w:rFonts w:cstheme="minorHAnsi"/>
          <w:color w:val="000000"/>
        </w:rPr>
        <w:t xml:space="preserve">for regulating and governing the installation of fuel gas piping systems, appliances, equipment, and related accessories; and each and all of the regulations, provisions, penalties, conditions and terms of said Fuel Gas Code are hereby referred to, adopted, and made a part hereof, as if fully set out in this legislation, with the additions, insertions, deletions and changes, if any, prescribed in Section </w:t>
      </w:r>
      <w:r w:rsidR="003C1B3E">
        <w:rPr>
          <w:rFonts w:cstheme="minorHAnsi"/>
          <w:color w:val="000000"/>
        </w:rPr>
        <w:t>10</w:t>
      </w:r>
      <w:r w:rsidRPr="00C31666">
        <w:rPr>
          <w:rFonts w:cstheme="minorHAnsi"/>
          <w:color w:val="000000"/>
        </w:rPr>
        <w:t xml:space="preserve"> of this resolution. </w:t>
      </w:r>
    </w:p>
    <w:p w14:paraId="6F4342F1" w14:textId="4736A60E" w:rsidR="0055025A" w:rsidRPr="00C31666" w:rsidRDefault="0055025A" w:rsidP="0055025A">
      <w:pPr>
        <w:spacing w:before="240" w:after="0"/>
        <w:rPr>
          <w:rFonts w:cstheme="minorHAnsi"/>
          <w:color w:val="000000"/>
        </w:rPr>
      </w:pPr>
      <w:r w:rsidRPr="000F091B">
        <w:rPr>
          <w:rFonts w:cstheme="minorHAnsi"/>
          <w:b/>
          <w:bCs/>
          <w:color w:val="000000"/>
          <w:sz w:val="28"/>
          <w:szCs w:val="28"/>
        </w:rPr>
        <w:t xml:space="preserve">Section </w:t>
      </w:r>
      <w:r w:rsidR="003C1B3E" w:rsidRPr="000F091B">
        <w:rPr>
          <w:rFonts w:cstheme="minorHAnsi"/>
          <w:b/>
          <w:bCs/>
          <w:color w:val="000000"/>
          <w:sz w:val="28"/>
          <w:szCs w:val="28"/>
        </w:rPr>
        <w:t>1</w:t>
      </w:r>
      <w:r w:rsidR="00220AC8">
        <w:rPr>
          <w:rFonts w:cstheme="minorHAnsi"/>
          <w:b/>
          <w:bCs/>
          <w:color w:val="000000"/>
          <w:sz w:val="28"/>
          <w:szCs w:val="28"/>
        </w:rPr>
        <w:t>1</w:t>
      </w:r>
      <w:r w:rsidRPr="000F091B">
        <w:rPr>
          <w:rFonts w:cstheme="minorHAnsi"/>
          <w:b/>
          <w:bCs/>
          <w:color w:val="000000"/>
          <w:sz w:val="28"/>
          <w:szCs w:val="28"/>
        </w:rPr>
        <w:t>.</w:t>
      </w:r>
      <w:r w:rsidRPr="003C1B3E">
        <w:rPr>
          <w:rFonts w:cstheme="minorHAnsi"/>
          <w:color w:val="000000"/>
        </w:rPr>
        <w:t xml:space="preserve"> The</w:t>
      </w:r>
      <w:r w:rsidRPr="00C31666">
        <w:rPr>
          <w:rFonts w:cstheme="minorHAnsi"/>
          <w:color w:val="000000"/>
        </w:rPr>
        <w:t xml:space="preserve"> following sections are hereby revised:</w:t>
      </w:r>
    </w:p>
    <w:p w14:paraId="580E8AA5" w14:textId="77777777" w:rsidR="00C31666" w:rsidRPr="00C31666" w:rsidRDefault="00C31666" w:rsidP="00C31666">
      <w:pPr>
        <w:autoSpaceDE w:val="0"/>
        <w:autoSpaceDN w:val="0"/>
        <w:adjustRightInd w:val="0"/>
        <w:spacing w:after="0" w:line="240" w:lineRule="auto"/>
        <w:rPr>
          <w:rFonts w:cstheme="minorHAnsi"/>
          <w:color w:val="000000"/>
        </w:rPr>
      </w:pPr>
    </w:p>
    <w:p w14:paraId="25E55724" w14:textId="2028CB5E" w:rsidR="00C31666" w:rsidRPr="00C31666" w:rsidRDefault="00C31666" w:rsidP="00C31666">
      <w:pPr>
        <w:autoSpaceDE w:val="0"/>
        <w:autoSpaceDN w:val="0"/>
        <w:adjustRightInd w:val="0"/>
        <w:spacing w:after="0" w:line="240" w:lineRule="auto"/>
        <w:rPr>
          <w:rFonts w:cstheme="minorHAnsi"/>
          <w:color w:val="000000"/>
        </w:rPr>
      </w:pPr>
      <w:r w:rsidRPr="00C31666">
        <w:rPr>
          <w:rFonts w:cstheme="minorHAnsi"/>
          <w:color w:val="000000"/>
        </w:rPr>
        <w:t xml:space="preserve">Replace with the following language: </w:t>
      </w:r>
    </w:p>
    <w:p w14:paraId="319EA0AE" w14:textId="30496C2D" w:rsidR="00C31666" w:rsidRDefault="00C31666" w:rsidP="00C31666">
      <w:pPr>
        <w:spacing w:before="240" w:after="0"/>
        <w:rPr>
          <w:rFonts w:cstheme="minorHAnsi"/>
          <w:color w:val="000000"/>
        </w:rPr>
      </w:pPr>
      <w:r w:rsidRPr="00C31666">
        <w:rPr>
          <w:rFonts w:cstheme="minorHAnsi"/>
          <w:color w:val="000000"/>
        </w:rPr>
        <w:t>5.6.3.4 Corrugated Stainless Steel.</w:t>
      </w:r>
      <w:r w:rsidRPr="00C31666">
        <w:rPr>
          <w:rFonts w:cstheme="minorHAnsi"/>
          <w:b/>
          <w:bCs/>
          <w:color w:val="000000"/>
        </w:rPr>
        <w:t xml:space="preserve"> </w:t>
      </w:r>
      <w:r w:rsidRPr="00C31666">
        <w:rPr>
          <w:rFonts w:cstheme="minorHAnsi"/>
          <w:color w:val="000000"/>
        </w:rPr>
        <w:t>Only CSST with an Arc Resistant Jacket or Covering System listed in accordance with ANSI LC-1 (Optional Section 5.16)/CSA 6.26-2016 shall be installed in accordance with the terms of its approval, the conditions of listing, the manufactures instructions and this code including electrical bonding requirements in Section 7.13.2. CSST shall not be used for through wall penetrations from the point of delivery of the gas supply to the inside of the structure. CSST shall not be installed in locations where subject to physical damage unless protected in an approved manner.</w:t>
      </w:r>
    </w:p>
    <w:p w14:paraId="1D498C7E" w14:textId="19C0B712" w:rsidR="00AA3A67" w:rsidRDefault="003C1B3E" w:rsidP="00AA3A67">
      <w:pPr>
        <w:spacing w:before="240" w:after="0"/>
        <w:rPr>
          <w:rFonts w:cstheme="minorHAnsi"/>
          <w:color w:val="000000"/>
        </w:rPr>
      </w:pPr>
      <w:bookmarkStart w:id="0" w:name="_Hlk80184297"/>
      <w:r w:rsidRPr="000F091B">
        <w:rPr>
          <w:rFonts w:cstheme="minorHAnsi"/>
          <w:b/>
          <w:bCs/>
          <w:color w:val="000000"/>
          <w:sz w:val="28"/>
          <w:szCs w:val="28"/>
        </w:rPr>
        <w:t>Section 1</w:t>
      </w:r>
      <w:r w:rsidR="00220AC8">
        <w:rPr>
          <w:rFonts w:cstheme="minorHAnsi"/>
          <w:b/>
          <w:bCs/>
          <w:color w:val="000000"/>
          <w:sz w:val="28"/>
          <w:szCs w:val="28"/>
        </w:rPr>
        <w:t>2</w:t>
      </w:r>
      <w:r w:rsidRPr="000F091B">
        <w:rPr>
          <w:rFonts w:cstheme="minorHAnsi"/>
          <w:b/>
          <w:bCs/>
          <w:color w:val="000000"/>
          <w:sz w:val="28"/>
          <w:szCs w:val="28"/>
        </w:rPr>
        <w:t>.</w:t>
      </w:r>
      <w:r>
        <w:rPr>
          <w:rFonts w:cstheme="minorHAnsi"/>
          <w:color w:val="000000"/>
        </w:rPr>
        <w:t xml:space="preserve"> </w:t>
      </w:r>
      <w:r w:rsidR="003E137C" w:rsidRPr="003C1B3E">
        <w:rPr>
          <w:rFonts w:cstheme="minorHAnsi"/>
          <w:color w:val="000000"/>
        </w:rPr>
        <w:t>That</w:t>
      </w:r>
      <w:r w:rsidR="003E137C" w:rsidRPr="00C31666">
        <w:rPr>
          <w:rFonts w:cstheme="minorHAnsi"/>
          <w:color w:val="000000"/>
        </w:rPr>
        <w:t xml:space="preserve"> a certain document, being marked and designated </w:t>
      </w:r>
      <w:r w:rsidR="003E137C" w:rsidRPr="003E137C">
        <w:rPr>
          <w:rFonts w:cstheme="minorHAnsi"/>
          <w:color w:val="000000"/>
        </w:rPr>
        <w:t>as</w:t>
      </w:r>
      <w:r w:rsidR="00AA3A67" w:rsidRPr="003E137C">
        <w:rPr>
          <w:rFonts w:cstheme="minorHAnsi"/>
          <w:color w:val="000000"/>
        </w:rPr>
        <w:t xml:space="preserve"> the</w:t>
      </w:r>
      <w:r w:rsidR="00AA3A67" w:rsidRPr="003E137C">
        <w:rPr>
          <w:rFonts w:cstheme="minorHAnsi"/>
          <w:b/>
          <w:bCs/>
          <w:color w:val="000000"/>
          <w:sz w:val="24"/>
          <w:szCs w:val="24"/>
        </w:rPr>
        <w:t xml:space="preserve"> </w:t>
      </w:r>
      <w:r w:rsidR="00AA3A67" w:rsidRPr="003E137C">
        <w:rPr>
          <w:rFonts w:cstheme="minorHAnsi"/>
          <w:b/>
          <w:bCs/>
          <w:i/>
          <w:iCs/>
          <w:color w:val="000000"/>
          <w:sz w:val="24"/>
          <w:szCs w:val="24"/>
        </w:rPr>
        <w:t>International Swimming Pool and Spa Code</w:t>
      </w:r>
      <w:r w:rsidR="00AA3A67" w:rsidRPr="003E137C">
        <w:rPr>
          <w:rFonts w:cstheme="minorHAnsi"/>
          <w:b/>
          <w:bCs/>
          <w:color w:val="000000"/>
          <w:sz w:val="24"/>
          <w:szCs w:val="24"/>
        </w:rPr>
        <w:t xml:space="preserve">, </w:t>
      </w:r>
      <w:r w:rsidR="003E137C" w:rsidRPr="003E137C">
        <w:rPr>
          <w:rFonts w:cstheme="minorHAnsi"/>
          <w:b/>
          <w:bCs/>
          <w:color w:val="000000"/>
          <w:sz w:val="24"/>
          <w:szCs w:val="24"/>
        </w:rPr>
        <w:t>2018 edition</w:t>
      </w:r>
      <w:r w:rsidR="003E137C">
        <w:rPr>
          <w:rFonts w:cstheme="minorHAnsi"/>
          <w:color w:val="000000"/>
        </w:rPr>
        <w:t xml:space="preserve">, </w:t>
      </w:r>
      <w:r w:rsidR="00AA3A67" w:rsidRPr="00C31666">
        <w:rPr>
          <w:rFonts w:cstheme="minorHAnsi"/>
          <w:color w:val="000000"/>
        </w:rPr>
        <w:t xml:space="preserve">published by the International Code Council, be and hereby is </w:t>
      </w:r>
      <w:r w:rsidR="00AA3A67">
        <w:rPr>
          <w:rFonts w:cstheme="minorHAnsi"/>
          <w:color w:val="000000"/>
        </w:rPr>
        <w:t>adopted</w:t>
      </w:r>
      <w:r w:rsidR="00AA3A67" w:rsidRPr="00C31666">
        <w:rPr>
          <w:rFonts w:cstheme="minorHAnsi"/>
          <w:color w:val="000000"/>
        </w:rPr>
        <w:t xml:space="preserve"> as the </w:t>
      </w:r>
      <w:r w:rsidR="00AA3A67">
        <w:rPr>
          <w:rFonts w:cstheme="minorHAnsi"/>
          <w:color w:val="000000"/>
        </w:rPr>
        <w:t>Swimming Pool and Spa</w:t>
      </w:r>
      <w:r w:rsidR="00AA3A67" w:rsidRPr="00C31666">
        <w:rPr>
          <w:rFonts w:cstheme="minorHAnsi"/>
          <w:color w:val="000000"/>
        </w:rPr>
        <w:t xml:space="preserve"> Code</w:t>
      </w:r>
      <w:r w:rsidR="00AA3A67" w:rsidRPr="00C31666">
        <w:rPr>
          <w:rFonts w:cstheme="minorHAnsi"/>
          <w:b/>
          <w:bCs/>
          <w:color w:val="000000"/>
        </w:rPr>
        <w:t xml:space="preserve"> </w:t>
      </w:r>
      <w:r w:rsidR="00AA3A67" w:rsidRPr="00C31666">
        <w:rPr>
          <w:rFonts w:cstheme="minorHAnsi"/>
          <w:color w:val="000000"/>
        </w:rPr>
        <w:t xml:space="preserve">for regulating </w:t>
      </w:r>
      <w:r w:rsidR="00AA3A67">
        <w:rPr>
          <w:rFonts w:cstheme="minorHAnsi"/>
          <w:color w:val="000000"/>
        </w:rPr>
        <w:t>the</w:t>
      </w:r>
      <w:r w:rsidR="00AA3A67" w:rsidRPr="00C31666">
        <w:rPr>
          <w:rFonts w:cstheme="minorHAnsi"/>
          <w:color w:val="000000"/>
        </w:rPr>
        <w:t xml:space="preserve"> requirements for all aspects of </w:t>
      </w:r>
      <w:r w:rsidR="00AA3A67">
        <w:rPr>
          <w:rFonts w:cstheme="minorHAnsi"/>
          <w:color w:val="000000"/>
        </w:rPr>
        <w:t>swimming pool and spa</w:t>
      </w:r>
      <w:r w:rsidR="00AA3A67" w:rsidRPr="00C31666">
        <w:rPr>
          <w:rFonts w:cstheme="minorHAnsi"/>
          <w:color w:val="000000"/>
        </w:rPr>
        <w:t xml:space="preserve"> uses in both commercial and residential construction</w:t>
      </w:r>
      <w:r w:rsidR="00AA3A67">
        <w:rPr>
          <w:rFonts w:cstheme="minorHAnsi"/>
          <w:color w:val="000000"/>
        </w:rPr>
        <w:t>. E</w:t>
      </w:r>
      <w:r w:rsidR="00AA3A67" w:rsidRPr="00C31666">
        <w:rPr>
          <w:rFonts w:cstheme="minorHAnsi"/>
          <w:color w:val="000000"/>
        </w:rPr>
        <w:t xml:space="preserve">ach and all the regulations, provisions, penalties, </w:t>
      </w:r>
      <w:r w:rsidR="00AC3F12" w:rsidRPr="00C31666">
        <w:rPr>
          <w:rFonts w:cstheme="minorHAnsi"/>
          <w:color w:val="000000"/>
        </w:rPr>
        <w:t>conditions,</w:t>
      </w:r>
      <w:r w:rsidR="00AA3A67" w:rsidRPr="00C31666">
        <w:rPr>
          <w:rFonts w:cstheme="minorHAnsi"/>
          <w:color w:val="000000"/>
        </w:rPr>
        <w:t xml:space="preserve"> and terms of said </w:t>
      </w:r>
      <w:r w:rsidR="00AA3A67">
        <w:rPr>
          <w:rFonts w:cstheme="minorHAnsi"/>
          <w:color w:val="000000"/>
        </w:rPr>
        <w:t>Swimming Pool and Spa</w:t>
      </w:r>
      <w:r w:rsidR="00AA3A67" w:rsidRPr="00C31666">
        <w:rPr>
          <w:rFonts w:cstheme="minorHAnsi"/>
          <w:color w:val="000000"/>
        </w:rPr>
        <w:t xml:space="preserve"> Code are hereby referred to, adopted, and made a part hereof, as if fully set out in this legislation.</w:t>
      </w:r>
    </w:p>
    <w:bookmarkEnd w:id="0"/>
    <w:p w14:paraId="49E73419" w14:textId="413FA79C" w:rsidR="00AC3F12" w:rsidRDefault="003C1B3E" w:rsidP="00AC3F12">
      <w:pPr>
        <w:spacing w:before="240" w:after="0"/>
        <w:rPr>
          <w:rFonts w:ascii="Calibri" w:hAnsi="Calibri" w:cs="Calibri"/>
          <w:color w:val="000000"/>
        </w:rPr>
      </w:pPr>
      <w:r w:rsidRPr="003E137C">
        <w:rPr>
          <w:rFonts w:ascii="Calibri" w:hAnsi="Calibri" w:cs="Calibri"/>
          <w:b/>
          <w:bCs/>
          <w:color w:val="000000"/>
          <w:sz w:val="28"/>
          <w:szCs w:val="28"/>
        </w:rPr>
        <w:lastRenderedPageBreak/>
        <w:t>Section 1</w:t>
      </w:r>
      <w:r w:rsidR="00220AC8">
        <w:rPr>
          <w:rFonts w:ascii="Calibri" w:hAnsi="Calibri" w:cs="Calibri"/>
          <w:b/>
          <w:bCs/>
          <w:color w:val="000000"/>
          <w:sz w:val="28"/>
          <w:szCs w:val="28"/>
        </w:rPr>
        <w:t>3</w:t>
      </w:r>
      <w:r w:rsidRPr="003E137C">
        <w:rPr>
          <w:rFonts w:ascii="Calibri" w:hAnsi="Calibri" w:cs="Calibri"/>
          <w:b/>
          <w:bCs/>
          <w:color w:val="000000"/>
          <w:sz w:val="28"/>
          <w:szCs w:val="28"/>
        </w:rPr>
        <w:t>.</w:t>
      </w:r>
      <w:r>
        <w:rPr>
          <w:rFonts w:ascii="Calibri" w:hAnsi="Calibri" w:cs="Calibri"/>
          <w:color w:val="000000"/>
        </w:rPr>
        <w:t xml:space="preserve"> </w:t>
      </w:r>
      <w:r w:rsidR="00AC3F12" w:rsidRPr="00AC3F12">
        <w:rPr>
          <w:rFonts w:ascii="Calibri" w:hAnsi="Calibri" w:cs="Calibri"/>
          <w:color w:val="000000"/>
        </w:rPr>
        <w:t xml:space="preserve">That a certain document, being marked and designated as the </w:t>
      </w:r>
      <w:r w:rsidR="00AC3F12" w:rsidRPr="003E137C">
        <w:rPr>
          <w:rFonts w:ascii="Calibri" w:hAnsi="Calibri" w:cs="Calibri"/>
          <w:b/>
          <w:bCs/>
          <w:i/>
          <w:iCs/>
          <w:color w:val="000000"/>
          <w:sz w:val="24"/>
          <w:szCs w:val="24"/>
        </w:rPr>
        <w:t>International Existing Building Code</w:t>
      </w:r>
      <w:r w:rsidR="00AC3F12" w:rsidRPr="003E137C">
        <w:rPr>
          <w:rFonts w:ascii="Calibri" w:hAnsi="Calibri" w:cs="Calibri"/>
          <w:b/>
          <w:bCs/>
          <w:color w:val="000000"/>
          <w:sz w:val="24"/>
          <w:szCs w:val="24"/>
        </w:rPr>
        <w:t>, 2018 edition</w:t>
      </w:r>
      <w:r w:rsidR="00AC3F12" w:rsidRPr="00AC3F12">
        <w:rPr>
          <w:rFonts w:ascii="Calibri" w:hAnsi="Calibri" w:cs="Calibri"/>
          <w:color w:val="000000"/>
        </w:rPr>
        <w:t xml:space="preserve">, as published by the International Code Council, be and is hereby adopted as the </w:t>
      </w:r>
      <w:r w:rsidR="00947DDF">
        <w:rPr>
          <w:rFonts w:ascii="Calibri" w:hAnsi="Calibri" w:cs="Calibri"/>
          <w:color w:val="000000"/>
        </w:rPr>
        <w:t xml:space="preserve">Existing </w:t>
      </w:r>
      <w:r w:rsidR="00AC3F12" w:rsidRPr="00AC3F12">
        <w:rPr>
          <w:rFonts w:ascii="Calibri" w:hAnsi="Calibri" w:cs="Calibri"/>
          <w:color w:val="000000"/>
        </w:rPr>
        <w:t>Building Code</w:t>
      </w:r>
      <w:r w:rsidR="00AC3F12" w:rsidRPr="00AC3F12">
        <w:rPr>
          <w:rFonts w:ascii="Calibri" w:hAnsi="Calibri" w:cs="Calibri"/>
          <w:b/>
          <w:bCs/>
          <w:color w:val="000000"/>
        </w:rPr>
        <w:t xml:space="preserve"> </w:t>
      </w:r>
      <w:r w:rsidR="00AC3F12" w:rsidRPr="00AC3F12">
        <w:rPr>
          <w:rFonts w:ascii="Calibri" w:hAnsi="Calibri" w:cs="Calibri"/>
          <w:color w:val="000000"/>
        </w:rPr>
        <w:t>for regulating and governing the repair, alteration, change of occupancy, addition and relocation of existing buildings as herein provided; providing for the issuance of permits and collection of fees therefor; and each and all of the regulations, provisions, penalties, conditions and terms of said Existing Building Code are hereby referred to, adopted, and made a part hereof, as if fully set out in this resolution</w:t>
      </w:r>
      <w:r w:rsidR="00AC3F12">
        <w:rPr>
          <w:rFonts w:ascii="Calibri" w:hAnsi="Calibri" w:cs="Calibri"/>
          <w:color w:val="000000"/>
        </w:rPr>
        <w:t>.</w:t>
      </w:r>
    </w:p>
    <w:p w14:paraId="537601A5" w14:textId="6E7B7673" w:rsidR="00947DDF" w:rsidRDefault="00947DDF" w:rsidP="00947DDF">
      <w:pPr>
        <w:autoSpaceDE w:val="0"/>
        <w:autoSpaceDN w:val="0"/>
        <w:adjustRightInd w:val="0"/>
        <w:spacing w:after="0" w:line="240" w:lineRule="auto"/>
        <w:rPr>
          <w:rFonts w:ascii="Calibri" w:hAnsi="Calibri" w:cs="Calibri"/>
          <w:color w:val="000000"/>
        </w:rPr>
      </w:pPr>
    </w:p>
    <w:p w14:paraId="38B139A6" w14:textId="27A1017E" w:rsidR="00947DDF" w:rsidRDefault="003C1B3E" w:rsidP="00947DDF">
      <w:pPr>
        <w:autoSpaceDE w:val="0"/>
        <w:autoSpaceDN w:val="0"/>
        <w:adjustRightInd w:val="0"/>
        <w:spacing w:after="0" w:line="240" w:lineRule="auto"/>
        <w:rPr>
          <w:rFonts w:ascii="Calibri" w:hAnsi="Calibri" w:cs="Calibri"/>
          <w:color w:val="000000"/>
        </w:rPr>
      </w:pPr>
      <w:r w:rsidRPr="003E137C">
        <w:rPr>
          <w:rFonts w:ascii="Calibri" w:hAnsi="Calibri" w:cs="Calibri"/>
          <w:b/>
          <w:bCs/>
          <w:color w:val="000000"/>
          <w:sz w:val="28"/>
          <w:szCs w:val="28"/>
        </w:rPr>
        <w:t>Section 1</w:t>
      </w:r>
      <w:r w:rsidR="00220AC8">
        <w:rPr>
          <w:rFonts w:ascii="Calibri" w:hAnsi="Calibri" w:cs="Calibri"/>
          <w:b/>
          <w:bCs/>
          <w:color w:val="000000"/>
          <w:sz w:val="28"/>
          <w:szCs w:val="28"/>
        </w:rPr>
        <w:t>4</w:t>
      </w:r>
      <w:r w:rsidRPr="003E137C">
        <w:rPr>
          <w:rFonts w:ascii="Calibri" w:hAnsi="Calibri" w:cs="Calibri"/>
          <w:b/>
          <w:bCs/>
          <w:color w:val="000000"/>
          <w:sz w:val="28"/>
          <w:szCs w:val="28"/>
        </w:rPr>
        <w:t>.</w:t>
      </w:r>
      <w:r>
        <w:rPr>
          <w:rFonts w:ascii="Calibri" w:hAnsi="Calibri" w:cs="Calibri"/>
          <w:color w:val="000000"/>
        </w:rPr>
        <w:t xml:space="preserve"> </w:t>
      </w:r>
      <w:r w:rsidR="00947DDF" w:rsidRPr="00AC3F12">
        <w:rPr>
          <w:rFonts w:ascii="Calibri" w:hAnsi="Calibri" w:cs="Calibri"/>
          <w:color w:val="000000"/>
        </w:rPr>
        <w:t xml:space="preserve">That a certain document, being marked and designated as the </w:t>
      </w:r>
      <w:r w:rsidR="00947DDF" w:rsidRPr="003E137C">
        <w:rPr>
          <w:rFonts w:ascii="Calibri" w:hAnsi="Calibri" w:cs="Calibri"/>
          <w:b/>
          <w:bCs/>
          <w:i/>
          <w:iCs/>
          <w:color w:val="000000"/>
          <w:sz w:val="24"/>
          <w:szCs w:val="24"/>
        </w:rPr>
        <w:t>International Property Maintenance Code</w:t>
      </w:r>
      <w:r w:rsidR="00947DDF" w:rsidRPr="003E137C">
        <w:rPr>
          <w:rFonts w:ascii="Calibri" w:hAnsi="Calibri" w:cs="Calibri"/>
          <w:b/>
          <w:bCs/>
          <w:color w:val="000000"/>
          <w:sz w:val="24"/>
          <w:szCs w:val="24"/>
        </w:rPr>
        <w:t>, 2018 edition</w:t>
      </w:r>
      <w:r w:rsidR="00947DDF" w:rsidRPr="00AC3F12">
        <w:rPr>
          <w:rFonts w:ascii="Calibri" w:hAnsi="Calibri" w:cs="Calibri"/>
          <w:color w:val="000000"/>
        </w:rPr>
        <w:t xml:space="preserve">, as published by the International Code Council, be and is hereby adopted as the </w:t>
      </w:r>
      <w:r w:rsidR="00947DDF">
        <w:rPr>
          <w:rFonts w:ascii="Calibri" w:hAnsi="Calibri" w:cs="Calibri"/>
          <w:color w:val="000000"/>
        </w:rPr>
        <w:t>Property Maintenance</w:t>
      </w:r>
      <w:r w:rsidR="00947DDF" w:rsidRPr="00AC3F12">
        <w:rPr>
          <w:rFonts w:ascii="Calibri" w:hAnsi="Calibri" w:cs="Calibri"/>
          <w:color w:val="000000"/>
        </w:rPr>
        <w:t xml:space="preserve"> Code</w:t>
      </w:r>
      <w:r w:rsidR="00947DDF" w:rsidRPr="00AC3F12">
        <w:rPr>
          <w:rFonts w:ascii="Calibri" w:hAnsi="Calibri" w:cs="Calibri"/>
          <w:b/>
          <w:bCs/>
          <w:color w:val="000000"/>
        </w:rPr>
        <w:t xml:space="preserve"> </w:t>
      </w:r>
      <w:r w:rsidR="00947DDF" w:rsidRPr="00AC3F12">
        <w:rPr>
          <w:rFonts w:ascii="Calibri" w:hAnsi="Calibri" w:cs="Calibri"/>
          <w:color w:val="000000"/>
        </w:rPr>
        <w:t xml:space="preserve">for regulating </w:t>
      </w:r>
      <w:r w:rsidR="00947DDF">
        <w:rPr>
          <w:rFonts w:ascii="Calibri" w:hAnsi="Calibri" w:cs="Calibri"/>
          <w:sz w:val="20"/>
          <w:szCs w:val="20"/>
        </w:rPr>
        <w:t>minimum maintenance standards for basic equipment, light, ventilation, heating, sanitation, and fire safety</w:t>
      </w:r>
      <w:r w:rsidR="00947DDF" w:rsidRPr="00AC3F12">
        <w:rPr>
          <w:rFonts w:ascii="Calibri" w:hAnsi="Calibri" w:cs="Calibri"/>
          <w:color w:val="000000"/>
        </w:rPr>
        <w:t xml:space="preserve">; and each and all of the regulations, provisions, penalties, conditions and terms of said </w:t>
      </w:r>
      <w:r w:rsidR="00947DDF">
        <w:rPr>
          <w:rFonts w:ascii="Calibri" w:hAnsi="Calibri" w:cs="Calibri"/>
          <w:color w:val="000000"/>
        </w:rPr>
        <w:t>Property Maintenance</w:t>
      </w:r>
      <w:r w:rsidR="00947DDF" w:rsidRPr="00AC3F12">
        <w:rPr>
          <w:rFonts w:ascii="Calibri" w:hAnsi="Calibri" w:cs="Calibri"/>
          <w:color w:val="000000"/>
        </w:rPr>
        <w:t xml:space="preserve"> Code are hereby referred to, adopted, and made a part hereof, as if fully set out in this resolution</w:t>
      </w:r>
      <w:r w:rsidR="00947DDF">
        <w:rPr>
          <w:rFonts w:ascii="Calibri" w:hAnsi="Calibri" w:cs="Calibri"/>
          <w:color w:val="000000"/>
        </w:rPr>
        <w:t>.</w:t>
      </w:r>
    </w:p>
    <w:p w14:paraId="136E553C" w14:textId="0AC88F94" w:rsidR="003C1B3E" w:rsidRDefault="003C1B3E" w:rsidP="00947DDF">
      <w:pPr>
        <w:autoSpaceDE w:val="0"/>
        <w:autoSpaceDN w:val="0"/>
        <w:adjustRightInd w:val="0"/>
        <w:spacing w:after="0" w:line="240" w:lineRule="auto"/>
        <w:rPr>
          <w:rFonts w:ascii="Calibri" w:hAnsi="Calibri" w:cs="Calibri"/>
          <w:color w:val="000000"/>
        </w:rPr>
      </w:pPr>
    </w:p>
    <w:p w14:paraId="4B38DDC2" w14:textId="615B4155" w:rsidR="003C1B3E" w:rsidRDefault="003C1B3E" w:rsidP="00947DDF">
      <w:pPr>
        <w:autoSpaceDE w:val="0"/>
        <w:autoSpaceDN w:val="0"/>
        <w:adjustRightInd w:val="0"/>
        <w:spacing w:after="0" w:line="240" w:lineRule="auto"/>
      </w:pPr>
      <w:r w:rsidRPr="003E137C">
        <w:rPr>
          <w:b/>
          <w:bCs/>
          <w:sz w:val="28"/>
          <w:szCs w:val="28"/>
        </w:rPr>
        <w:t>SECTION 1</w:t>
      </w:r>
      <w:r w:rsidR="00220AC8">
        <w:rPr>
          <w:b/>
          <w:bCs/>
          <w:sz w:val="28"/>
          <w:szCs w:val="28"/>
        </w:rPr>
        <w:t>5</w:t>
      </w:r>
      <w:r w:rsidRPr="003C1B3E">
        <w:t xml:space="preserve">: </w:t>
      </w:r>
      <w:proofErr w:type="spellStart"/>
      <w:r w:rsidRPr="003C1B3E">
        <w:t>Repealer</w:t>
      </w:r>
      <w:proofErr w:type="spellEnd"/>
      <w:r w:rsidRPr="003C1B3E">
        <w:t>. All ordinances or parts of ordinances in conflict with the provisions of this ordinance are hereby repealed.</w:t>
      </w:r>
    </w:p>
    <w:p w14:paraId="01135073" w14:textId="5D01FAE8" w:rsidR="003C1B3E" w:rsidRDefault="003C1B3E" w:rsidP="00947DDF">
      <w:pPr>
        <w:autoSpaceDE w:val="0"/>
        <w:autoSpaceDN w:val="0"/>
        <w:adjustRightInd w:val="0"/>
        <w:spacing w:after="0" w:line="240" w:lineRule="auto"/>
      </w:pPr>
    </w:p>
    <w:p w14:paraId="500A4737" w14:textId="1088926E" w:rsidR="003C1B3E" w:rsidRPr="003C1B3E" w:rsidRDefault="003C1B3E" w:rsidP="003C1B3E">
      <w:pPr>
        <w:autoSpaceDE w:val="0"/>
        <w:autoSpaceDN w:val="0"/>
        <w:adjustRightInd w:val="0"/>
        <w:spacing w:after="0" w:line="240" w:lineRule="auto"/>
        <w:rPr>
          <w:rFonts w:cstheme="minorHAnsi"/>
          <w:color w:val="000000"/>
        </w:rPr>
      </w:pPr>
      <w:r w:rsidRPr="003C1B3E">
        <w:rPr>
          <w:rFonts w:cstheme="minorHAnsi"/>
          <w:b/>
          <w:bCs/>
          <w:color w:val="000000"/>
          <w:sz w:val="28"/>
          <w:szCs w:val="28"/>
        </w:rPr>
        <w:t xml:space="preserve">SECTION </w:t>
      </w:r>
      <w:r w:rsidRPr="003E137C">
        <w:rPr>
          <w:rFonts w:cstheme="minorHAnsi"/>
          <w:b/>
          <w:bCs/>
          <w:color w:val="000000"/>
          <w:sz w:val="28"/>
          <w:szCs w:val="28"/>
        </w:rPr>
        <w:t>1</w:t>
      </w:r>
      <w:r w:rsidR="00220AC8">
        <w:rPr>
          <w:rFonts w:cstheme="minorHAnsi"/>
          <w:b/>
          <w:bCs/>
          <w:color w:val="000000"/>
          <w:sz w:val="28"/>
          <w:szCs w:val="28"/>
        </w:rPr>
        <w:t>6</w:t>
      </w:r>
      <w:r w:rsidRPr="003C1B3E">
        <w:rPr>
          <w:rFonts w:cstheme="minorHAnsi"/>
          <w:b/>
          <w:bCs/>
          <w:color w:val="000000"/>
          <w:sz w:val="28"/>
          <w:szCs w:val="28"/>
        </w:rPr>
        <w:t>:</w:t>
      </w:r>
      <w:r w:rsidRPr="003C1B3E">
        <w:rPr>
          <w:rFonts w:cstheme="minorHAnsi"/>
          <w:color w:val="000000"/>
        </w:rPr>
        <w:t xml:space="preserve"> Severability Clause. If any section, provision, or part of this ordinance shall be adjudged invalid or unconstitutional, such adjudication shall not affect the validity of the ordinance as a whole or any section, provision, or part thereof not adjudged invalid or unconstitutional. </w:t>
      </w:r>
    </w:p>
    <w:p w14:paraId="44A71EBF" w14:textId="77777777" w:rsidR="003C1B3E" w:rsidRDefault="003C1B3E" w:rsidP="003C1B3E">
      <w:pPr>
        <w:autoSpaceDE w:val="0"/>
        <w:autoSpaceDN w:val="0"/>
        <w:adjustRightInd w:val="0"/>
        <w:spacing w:after="0" w:line="240" w:lineRule="auto"/>
        <w:rPr>
          <w:rFonts w:cstheme="minorHAnsi"/>
          <w:color w:val="000000"/>
        </w:rPr>
      </w:pPr>
    </w:p>
    <w:p w14:paraId="355AEA03" w14:textId="0790C589" w:rsidR="003C1B3E" w:rsidRPr="003C1B3E" w:rsidRDefault="003C1B3E" w:rsidP="003C1B3E">
      <w:pPr>
        <w:autoSpaceDE w:val="0"/>
        <w:autoSpaceDN w:val="0"/>
        <w:adjustRightInd w:val="0"/>
        <w:spacing w:after="0" w:line="240" w:lineRule="auto"/>
        <w:rPr>
          <w:rFonts w:cstheme="minorHAnsi"/>
          <w:color w:val="000000"/>
        </w:rPr>
      </w:pPr>
      <w:r w:rsidRPr="003C1B3E">
        <w:rPr>
          <w:rFonts w:cstheme="minorHAnsi"/>
          <w:b/>
          <w:bCs/>
          <w:color w:val="000000"/>
          <w:sz w:val="28"/>
          <w:szCs w:val="28"/>
        </w:rPr>
        <w:t xml:space="preserve">SECTION </w:t>
      </w:r>
      <w:r w:rsidRPr="003E137C">
        <w:rPr>
          <w:rFonts w:cstheme="minorHAnsi"/>
          <w:b/>
          <w:bCs/>
          <w:color w:val="000000"/>
          <w:sz w:val="28"/>
          <w:szCs w:val="28"/>
        </w:rPr>
        <w:t>1</w:t>
      </w:r>
      <w:r w:rsidR="00220AC8">
        <w:rPr>
          <w:rFonts w:cstheme="minorHAnsi"/>
          <w:b/>
          <w:bCs/>
          <w:color w:val="000000"/>
          <w:sz w:val="28"/>
          <w:szCs w:val="28"/>
        </w:rPr>
        <w:t>7</w:t>
      </w:r>
      <w:r w:rsidRPr="003C1B3E">
        <w:rPr>
          <w:rFonts w:cstheme="minorHAnsi"/>
          <w:b/>
          <w:bCs/>
          <w:color w:val="000000"/>
          <w:sz w:val="28"/>
          <w:szCs w:val="28"/>
        </w:rPr>
        <w:t>:</w:t>
      </w:r>
      <w:r w:rsidRPr="003C1B3E">
        <w:rPr>
          <w:rFonts w:cstheme="minorHAnsi"/>
          <w:color w:val="000000"/>
        </w:rPr>
        <w:t xml:space="preserve"> Effective Date. This ordinance shall be in effect after its final passage, approval and publication as provided by law. </w:t>
      </w:r>
    </w:p>
    <w:p w14:paraId="2ED1DDAF" w14:textId="77777777" w:rsidR="003C1B3E" w:rsidRDefault="003C1B3E" w:rsidP="003C1B3E">
      <w:pPr>
        <w:autoSpaceDE w:val="0"/>
        <w:autoSpaceDN w:val="0"/>
        <w:adjustRightInd w:val="0"/>
        <w:spacing w:after="0" w:line="240" w:lineRule="auto"/>
        <w:rPr>
          <w:rFonts w:cstheme="minorHAnsi"/>
          <w:color w:val="000000"/>
        </w:rPr>
      </w:pPr>
    </w:p>
    <w:p w14:paraId="7BD0578B" w14:textId="3D66C37E" w:rsidR="003C1B3E" w:rsidRPr="003C1B3E" w:rsidRDefault="003C1B3E" w:rsidP="003C1B3E">
      <w:pPr>
        <w:autoSpaceDE w:val="0"/>
        <w:autoSpaceDN w:val="0"/>
        <w:adjustRightInd w:val="0"/>
        <w:spacing w:after="0" w:line="240" w:lineRule="auto"/>
        <w:rPr>
          <w:rFonts w:cstheme="minorHAnsi"/>
          <w:color w:val="000000"/>
        </w:rPr>
      </w:pPr>
      <w:r w:rsidRPr="003C1B3E">
        <w:rPr>
          <w:rFonts w:cstheme="minorHAnsi"/>
          <w:color w:val="000000"/>
        </w:rPr>
        <w:t xml:space="preserve">Passed by the City Council of the City of </w:t>
      </w:r>
      <w:r w:rsidRPr="003C1B3E">
        <w:rPr>
          <w:rFonts w:cstheme="minorHAnsi"/>
          <w:color w:val="000000"/>
          <w:highlight w:val="yellow"/>
        </w:rPr>
        <w:t>(Jurisdiction),</w:t>
      </w:r>
      <w:r w:rsidRPr="003C1B3E">
        <w:rPr>
          <w:rFonts w:cstheme="minorHAnsi"/>
          <w:color w:val="000000"/>
        </w:rPr>
        <w:t xml:space="preserve"> Iowa, on this _____ day of _______, 20</w:t>
      </w:r>
      <w:r w:rsidR="000F091B">
        <w:rPr>
          <w:rFonts w:cstheme="minorHAnsi"/>
          <w:color w:val="000000"/>
        </w:rPr>
        <w:t>21</w:t>
      </w:r>
      <w:r w:rsidRPr="003C1B3E">
        <w:rPr>
          <w:rFonts w:cstheme="minorHAnsi"/>
          <w:color w:val="000000"/>
        </w:rPr>
        <w:t>, and approved this _____ day of ______, 20</w:t>
      </w:r>
      <w:r w:rsidR="000F091B">
        <w:rPr>
          <w:rFonts w:cstheme="minorHAnsi"/>
          <w:color w:val="000000"/>
        </w:rPr>
        <w:t>21</w:t>
      </w:r>
      <w:r w:rsidRPr="003C1B3E">
        <w:rPr>
          <w:rFonts w:cstheme="minorHAnsi"/>
          <w:color w:val="000000"/>
        </w:rPr>
        <w:t xml:space="preserve">. </w:t>
      </w:r>
    </w:p>
    <w:p w14:paraId="61C4785E" w14:textId="77777777" w:rsidR="003E137C" w:rsidRDefault="003E137C" w:rsidP="003C1B3E">
      <w:pPr>
        <w:autoSpaceDE w:val="0"/>
        <w:autoSpaceDN w:val="0"/>
        <w:adjustRightInd w:val="0"/>
        <w:spacing w:after="0" w:line="240" w:lineRule="auto"/>
        <w:rPr>
          <w:rFonts w:cstheme="minorHAnsi"/>
          <w:color w:val="000000"/>
        </w:rPr>
      </w:pPr>
    </w:p>
    <w:p w14:paraId="50408DAE" w14:textId="77777777" w:rsidR="003E137C" w:rsidRDefault="003E137C" w:rsidP="003C1B3E">
      <w:pPr>
        <w:autoSpaceDE w:val="0"/>
        <w:autoSpaceDN w:val="0"/>
        <w:adjustRightInd w:val="0"/>
        <w:spacing w:after="0" w:line="240" w:lineRule="auto"/>
        <w:rPr>
          <w:rFonts w:cstheme="minorHAnsi"/>
          <w:color w:val="000000"/>
        </w:rPr>
      </w:pPr>
    </w:p>
    <w:p w14:paraId="02BB6344" w14:textId="494AA8F5" w:rsidR="003C1B3E" w:rsidRPr="003C1B3E" w:rsidRDefault="003C1B3E" w:rsidP="003E137C">
      <w:pPr>
        <w:autoSpaceDE w:val="0"/>
        <w:autoSpaceDN w:val="0"/>
        <w:adjustRightInd w:val="0"/>
        <w:spacing w:after="0" w:line="240" w:lineRule="auto"/>
        <w:ind w:left="5040" w:firstLine="720"/>
        <w:rPr>
          <w:rFonts w:cstheme="minorHAnsi"/>
          <w:color w:val="000000"/>
        </w:rPr>
      </w:pPr>
      <w:r w:rsidRPr="003C1B3E">
        <w:rPr>
          <w:rFonts w:cstheme="minorHAnsi"/>
          <w:color w:val="000000"/>
        </w:rPr>
        <w:t xml:space="preserve">____________________________ </w:t>
      </w:r>
    </w:p>
    <w:p w14:paraId="69DBCD3D" w14:textId="7AFB57B5" w:rsidR="003C1B3E" w:rsidRPr="003C1B3E" w:rsidRDefault="003E137C" w:rsidP="003E137C">
      <w:pPr>
        <w:autoSpaceDE w:val="0"/>
        <w:autoSpaceDN w:val="0"/>
        <w:adjustRightInd w:val="0"/>
        <w:spacing w:after="0" w:line="240" w:lineRule="auto"/>
        <w:ind w:left="5040" w:firstLine="720"/>
        <w:rPr>
          <w:rFonts w:cstheme="minorHAnsi"/>
          <w:color w:val="000000"/>
        </w:rPr>
      </w:pPr>
      <w:r>
        <w:rPr>
          <w:rFonts w:cstheme="minorHAnsi"/>
          <w:color w:val="000000"/>
        </w:rPr>
        <w:t>(NAME)</w:t>
      </w:r>
      <w:r w:rsidR="003C1B3E" w:rsidRPr="003C1B3E">
        <w:rPr>
          <w:rFonts w:cstheme="minorHAnsi"/>
          <w:color w:val="000000"/>
        </w:rPr>
        <w:t xml:space="preserve">, MAYOR </w:t>
      </w:r>
    </w:p>
    <w:p w14:paraId="305D9D71" w14:textId="77777777" w:rsidR="003C1B3E" w:rsidRPr="003C1B3E" w:rsidRDefault="003C1B3E" w:rsidP="003C1B3E">
      <w:pPr>
        <w:autoSpaceDE w:val="0"/>
        <w:autoSpaceDN w:val="0"/>
        <w:adjustRightInd w:val="0"/>
        <w:spacing w:after="0" w:line="240" w:lineRule="auto"/>
        <w:rPr>
          <w:rFonts w:cstheme="minorHAnsi"/>
          <w:color w:val="000000"/>
        </w:rPr>
      </w:pPr>
      <w:r w:rsidRPr="003C1B3E">
        <w:rPr>
          <w:rFonts w:cstheme="minorHAnsi"/>
          <w:color w:val="000000"/>
        </w:rPr>
        <w:t xml:space="preserve">ATTEST: </w:t>
      </w:r>
    </w:p>
    <w:p w14:paraId="126DC155" w14:textId="77777777" w:rsidR="003C1B3E" w:rsidRPr="003C1B3E" w:rsidRDefault="003C1B3E" w:rsidP="003C1B3E">
      <w:pPr>
        <w:autoSpaceDE w:val="0"/>
        <w:autoSpaceDN w:val="0"/>
        <w:adjustRightInd w:val="0"/>
        <w:spacing w:after="0" w:line="240" w:lineRule="auto"/>
        <w:rPr>
          <w:rFonts w:cstheme="minorHAnsi"/>
          <w:color w:val="000000"/>
        </w:rPr>
      </w:pPr>
      <w:r w:rsidRPr="003C1B3E">
        <w:rPr>
          <w:rFonts w:cstheme="minorHAnsi"/>
          <w:color w:val="000000"/>
        </w:rPr>
        <w:t xml:space="preserve">___________________________ </w:t>
      </w:r>
    </w:p>
    <w:p w14:paraId="300379CA" w14:textId="4E331010" w:rsidR="003C1B3E" w:rsidRPr="003C1B3E" w:rsidRDefault="003E137C" w:rsidP="003C1B3E">
      <w:pPr>
        <w:autoSpaceDE w:val="0"/>
        <w:autoSpaceDN w:val="0"/>
        <w:adjustRightInd w:val="0"/>
        <w:spacing w:after="0" w:line="240" w:lineRule="auto"/>
        <w:rPr>
          <w:rFonts w:cstheme="minorHAnsi"/>
        </w:rPr>
      </w:pPr>
      <w:r>
        <w:rPr>
          <w:rFonts w:cstheme="minorHAnsi"/>
          <w:color w:val="000000"/>
        </w:rPr>
        <w:t>(NAME)</w:t>
      </w:r>
      <w:r w:rsidR="003C1B3E" w:rsidRPr="003C1B3E">
        <w:rPr>
          <w:rFonts w:cstheme="minorHAnsi"/>
          <w:color w:val="000000"/>
        </w:rPr>
        <w:t>, CITY CLERK</w:t>
      </w:r>
    </w:p>
    <w:sectPr w:rsidR="003C1B3E" w:rsidRPr="003C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F37"/>
    <w:multiLevelType w:val="hybridMultilevel"/>
    <w:tmpl w:val="5F20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5136B"/>
    <w:multiLevelType w:val="multilevel"/>
    <w:tmpl w:val="96D288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C5"/>
    <w:rsid w:val="000F091B"/>
    <w:rsid w:val="001A585D"/>
    <w:rsid w:val="001D446A"/>
    <w:rsid w:val="00220AC8"/>
    <w:rsid w:val="0031736F"/>
    <w:rsid w:val="0034105F"/>
    <w:rsid w:val="003C1B3E"/>
    <w:rsid w:val="003E137C"/>
    <w:rsid w:val="0055025A"/>
    <w:rsid w:val="005B0BF4"/>
    <w:rsid w:val="005B24EA"/>
    <w:rsid w:val="005E5AF2"/>
    <w:rsid w:val="0060265B"/>
    <w:rsid w:val="00637E13"/>
    <w:rsid w:val="00650E25"/>
    <w:rsid w:val="00672620"/>
    <w:rsid w:val="006C4291"/>
    <w:rsid w:val="00701C5D"/>
    <w:rsid w:val="00771495"/>
    <w:rsid w:val="007C63F2"/>
    <w:rsid w:val="00817472"/>
    <w:rsid w:val="008C2B68"/>
    <w:rsid w:val="00916C45"/>
    <w:rsid w:val="00947DDF"/>
    <w:rsid w:val="009A7CA1"/>
    <w:rsid w:val="009C47CF"/>
    <w:rsid w:val="00A151D9"/>
    <w:rsid w:val="00A57AC5"/>
    <w:rsid w:val="00A717DF"/>
    <w:rsid w:val="00AA139C"/>
    <w:rsid w:val="00AA3A67"/>
    <w:rsid w:val="00AC3F12"/>
    <w:rsid w:val="00AE5B5A"/>
    <w:rsid w:val="00C31666"/>
    <w:rsid w:val="00D7360B"/>
    <w:rsid w:val="00DF0D8D"/>
    <w:rsid w:val="00E11E35"/>
    <w:rsid w:val="00E756B4"/>
    <w:rsid w:val="00E8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15EE"/>
  <w15:chartTrackingRefBased/>
  <w15:docId w15:val="{E11A6B0B-C8B9-417F-9F9C-5D2DBC7B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5D"/>
    <w:pPr>
      <w:ind w:left="720"/>
      <w:contextualSpacing/>
    </w:pPr>
  </w:style>
  <w:style w:type="table" w:styleId="TableGrid">
    <w:name w:val="Table Grid"/>
    <w:basedOn w:val="TableNormal"/>
    <w:uiPriority w:val="39"/>
    <w:rsid w:val="0091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B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B190-6D06-4B5B-88A9-CC5ED929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Campbell</dc:creator>
  <cp:keywords/>
  <dc:description/>
  <cp:lastModifiedBy>Garrett Ley</cp:lastModifiedBy>
  <cp:revision>2</cp:revision>
  <dcterms:created xsi:type="dcterms:W3CDTF">2021-10-15T00:45:00Z</dcterms:created>
  <dcterms:modified xsi:type="dcterms:W3CDTF">2021-10-15T00:45:00Z</dcterms:modified>
</cp:coreProperties>
</file>